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85DD2" w14:textId="77777777" w:rsidR="004D72DA" w:rsidRDefault="004D72DA" w:rsidP="00A36637"/>
    <w:tbl>
      <w:tblPr>
        <w:tblpPr w:leftFromText="141" w:rightFromText="141" w:vertAnchor="text" w:horzAnchor="margin" w:tblpXSpec="center" w:tblpY="-95"/>
        <w:tblW w:w="10241" w:type="dxa"/>
        <w:tblLayout w:type="fixed"/>
        <w:tblLook w:val="0000" w:firstRow="0" w:lastRow="0" w:firstColumn="0" w:lastColumn="0" w:noHBand="0" w:noVBand="0"/>
      </w:tblPr>
      <w:tblGrid>
        <w:gridCol w:w="10241"/>
      </w:tblGrid>
      <w:tr w:rsidR="00B058B2" w:rsidRPr="00B058B2" w14:paraId="5F6303AE" w14:textId="77777777" w:rsidTr="00B058B2">
        <w:trPr>
          <w:trHeight w:val="13051"/>
        </w:trPr>
        <w:tc>
          <w:tcPr>
            <w:tcW w:w="10241" w:type="dxa"/>
            <w:shd w:val="clear" w:color="auto" w:fill="D9D9D9"/>
          </w:tcPr>
          <w:p w14:paraId="4EF178C3" w14:textId="77777777" w:rsidR="00B058B2" w:rsidRPr="00B058B2" w:rsidRDefault="00B058B2" w:rsidP="00B058B2">
            <w:pPr>
              <w:widowControl/>
              <w:autoSpaceDE/>
              <w:autoSpaceDN/>
              <w:adjustRightInd/>
              <w:ind w:left="142" w:right="283" w:hanging="108"/>
              <w:jc w:val="center"/>
              <w:rPr>
                <w:rFonts w:cs="Times New Roman"/>
                <w:b/>
                <w:bCs/>
                <w:color w:val="000000"/>
              </w:rPr>
            </w:pPr>
          </w:p>
          <w:p w14:paraId="764BA63B" w14:textId="77777777" w:rsidR="004D72DA" w:rsidRPr="00B058B2" w:rsidRDefault="004D72DA" w:rsidP="004D72DA">
            <w:pPr>
              <w:widowControl/>
              <w:autoSpaceDE/>
              <w:autoSpaceDN/>
              <w:adjustRightInd/>
              <w:ind w:left="142" w:right="283" w:hanging="108"/>
              <w:jc w:val="center"/>
              <w:rPr>
                <w:rFonts w:cs="Times New Roman"/>
                <w:b/>
                <w:bCs/>
                <w:color w:val="000000"/>
              </w:rPr>
            </w:pPr>
            <w:r w:rsidRPr="00B058B2">
              <w:rPr>
                <w:rFonts w:cs="Times New Roman"/>
                <w:b/>
                <w:bCs/>
                <w:color w:val="000000"/>
              </w:rPr>
              <w:t>MARCHE PUBLIC DE SERVICE</w:t>
            </w:r>
          </w:p>
          <w:p w14:paraId="4F352782" w14:textId="77777777" w:rsidR="004D72DA" w:rsidRPr="00B058B2" w:rsidRDefault="004D72DA" w:rsidP="004D72DA">
            <w:pPr>
              <w:widowControl/>
              <w:autoSpaceDE/>
              <w:autoSpaceDN/>
              <w:adjustRightInd/>
              <w:ind w:left="142" w:right="283" w:hanging="108"/>
              <w:rPr>
                <w:rFonts w:cs="Times New Roman"/>
                <w:color w:val="000000"/>
                <w:sz w:val="22"/>
              </w:rPr>
            </w:pPr>
          </w:p>
          <w:p w14:paraId="45398CA7" w14:textId="164FCFF7" w:rsidR="004D72DA" w:rsidRPr="00B058B2" w:rsidRDefault="004D72DA" w:rsidP="004D72DA">
            <w:pPr>
              <w:widowControl/>
              <w:autoSpaceDE/>
              <w:autoSpaceDN/>
              <w:adjustRightInd/>
              <w:ind w:right="510"/>
              <w:jc w:val="center"/>
              <w:rPr>
                <w:rFonts w:cs="Times New Roman"/>
                <w:b/>
                <w:color w:val="000000"/>
                <w:sz w:val="32"/>
                <w:szCs w:val="32"/>
              </w:rPr>
            </w:pPr>
            <w:r w:rsidRPr="00B058B2">
              <w:rPr>
                <w:rFonts w:cs="Times New Roman"/>
                <w:b/>
                <w:color w:val="000000"/>
                <w:sz w:val="28"/>
                <w:szCs w:val="32"/>
              </w:rPr>
              <w:t xml:space="preserve">Procédure n° </w:t>
            </w:r>
            <w:r w:rsidR="000E04C6">
              <w:rPr>
                <w:rFonts w:cs="Times New Roman"/>
                <w:b/>
                <w:color w:val="000000"/>
                <w:sz w:val="28"/>
                <w:szCs w:val="32"/>
              </w:rPr>
              <w:t>2026005</w:t>
            </w:r>
          </w:p>
          <w:p w14:paraId="49847CD6" w14:textId="77777777" w:rsidR="005A2E31" w:rsidRPr="005A2E31" w:rsidRDefault="005A2E31" w:rsidP="005A2E31">
            <w:pPr>
              <w:spacing w:before="120"/>
              <w:contextualSpacing/>
              <w:jc w:val="center"/>
              <w:rPr>
                <w:b/>
                <w:sz w:val="28"/>
                <w:szCs w:val="28"/>
              </w:rPr>
            </w:pPr>
            <w:r w:rsidRPr="005A2E31">
              <w:rPr>
                <w:b/>
                <w:sz w:val="28"/>
                <w:szCs w:val="28"/>
              </w:rPr>
              <w:t xml:space="preserve">CAHIER DES CLAUSES ADMINISTRATIVES PARTICULIÈRES (CCAP) </w:t>
            </w:r>
          </w:p>
          <w:p w14:paraId="636B24DA" w14:textId="77777777" w:rsidR="004D72DA" w:rsidRPr="00B058B2" w:rsidRDefault="004D72DA" w:rsidP="004D72DA">
            <w:pPr>
              <w:widowControl/>
              <w:autoSpaceDE/>
              <w:autoSpaceDN/>
              <w:adjustRightInd/>
              <w:ind w:left="142" w:right="283" w:hanging="108"/>
              <w:rPr>
                <w:rFonts w:cs="Times New Roman"/>
                <w:color w:val="000000"/>
                <w:sz w:val="22"/>
              </w:rPr>
            </w:pPr>
          </w:p>
          <w:p w14:paraId="2071A600" w14:textId="77777777" w:rsidR="004D72DA" w:rsidRPr="00B058B2" w:rsidRDefault="004D72DA" w:rsidP="004D72DA">
            <w:pPr>
              <w:widowControl/>
              <w:autoSpaceDE/>
              <w:autoSpaceDN/>
              <w:adjustRightInd/>
              <w:spacing w:after="0"/>
              <w:ind w:left="142" w:right="283" w:hanging="108"/>
              <w:rPr>
                <w:rFonts w:cs="Times New Roman"/>
                <w:b/>
                <w:bCs/>
                <w:color w:val="000000"/>
                <w:sz w:val="22"/>
              </w:rPr>
            </w:pPr>
            <w:r w:rsidRPr="00B058B2">
              <w:rPr>
                <w:rFonts w:cs="Times New Roman"/>
                <w:b/>
                <w:bCs/>
                <w:color w:val="000000"/>
                <w:sz w:val="22"/>
              </w:rPr>
              <w:t>Le pouvoir adjudicateur :</w:t>
            </w:r>
          </w:p>
          <w:p w14:paraId="42FA0991" w14:textId="77777777" w:rsidR="004D72DA" w:rsidRPr="00B058B2" w:rsidRDefault="004D72DA" w:rsidP="004D72DA">
            <w:pPr>
              <w:widowControl/>
              <w:autoSpaceDE/>
              <w:autoSpaceDN/>
              <w:adjustRightInd/>
              <w:spacing w:after="0"/>
              <w:ind w:right="510"/>
              <w:rPr>
                <w:rFonts w:cs="Times New Roman"/>
                <w:color w:val="000000"/>
              </w:rPr>
            </w:pPr>
          </w:p>
          <w:p w14:paraId="0D4DE907" w14:textId="77777777" w:rsidR="004D72DA" w:rsidRPr="00B058B2" w:rsidRDefault="004D72DA" w:rsidP="004D72DA">
            <w:pPr>
              <w:widowControl/>
              <w:autoSpaceDE/>
              <w:autoSpaceDN/>
              <w:adjustRightInd/>
              <w:spacing w:after="0"/>
              <w:ind w:right="510"/>
              <w:rPr>
                <w:rFonts w:cs="Times New Roman"/>
                <w:color w:val="000000"/>
              </w:rPr>
            </w:pPr>
            <w:r w:rsidRPr="00B058B2">
              <w:rPr>
                <w:rFonts w:cs="Times New Roman"/>
                <w:color w:val="000000"/>
              </w:rPr>
              <w:t>CENTRE NATIONAL DU CINEMA ET DE L’IMAGE ANIMEE (CNC)</w:t>
            </w:r>
          </w:p>
          <w:p w14:paraId="00F173DC" w14:textId="77777777" w:rsidR="004D72DA" w:rsidRDefault="004D72DA" w:rsidP="004D72DA">
            <w:pPr>
              <w:widowControl/>
              <w:autoSpaceDE/>
              <w:autoSpaceDN/>
              <w:adjustRightInd/>
              <w:spacing w:after="0"/>
              <w:ind w:right="510"/>
              <w:rPr>
                <w:rFonts w:cs="Times New Roman"/>
                <w:color w:val="000000"/>
              </w:rPr>
            </w:pPr>
            <w:r>
              <w:rPr>
                <w:rFonts w:cs="Times New Roman"/>
                <w:color w:val="000000"/>
              </w:rPr>
              <w:t>291, boulevard Raspail</w:t>
            </w:r>
          </w:p>
          <w:p w14:paraId="49F668E2" w14:textId="77777777" w:rsidR="004D72DA" w:rsidRPr="00B058B2" w:rsidRDefault="004D72DA" w:rsidP="004D72DA">
            <w:pPr>
              <w:widowControl/>
              <w:autoSpaceDE/>
              <w:autoSpaceDN/>
              <w:adjustRightInd/>
              <w:spacing w:after="0"/>
              <w:ind w:right="510"/>
              <w:rPr>
                <w:rFonts w:cs="Times New Roman"/>
                <w:color w:val="000000"/>
              </w:rPr>
            </w:pPr>
            <w:r>
              <w:rPr>
                <w:rFonts w:cs="Times New Roman"/>
                <w:color w:val="000000"/>
              </w:rPr>
              <w:t>75014 Paris</w:t>
            </w:r>
          </w:p>
          <w:p w14:paraId="0D227528" w14:textId="77777777" w:rsidR="004D72DA" w:rsidRPr="00B058B2" w:rsidRDefault="004D72DA" w:rsidP="004D72DA">
            <w:pPr>
              <w:widowControl/>
              <w:autoSpaceDE/>
              <w:autoSpaceDN/>
              <w:adjustRightInd/>
              <w:spacing w:after="0"/>
              <w:ind w:left="142" w:right="283" w:hanging="108"/>
              <w:rPr>
                <w:rFonts w:cs="Times New Roman"/>
                <w:color w:val="000000"/>
              </w:rPr>
            </w:pPr>
          </w:p>
          <w:p w14:paraId="7DF5304E" w14:textId="77777777" w:rsidR="004D72DA" w:rsidRPr="00B058B2" w:rsidRDefault="004D72DA" w:rsidP="004D72DA">
            <w:pPr>
              <w:widowControl/>
              <w:autoSpaceDE/>
              <w:autoSpaceDN/>
              <w:adjustRightInd/>
              <w:spacing w:after="0"/>
              <w:ind w:left="142" w:right="283" w:hanging="108"/>
              <w:rPr>
                <w:rFonts w:cs="Times New Roman"/>
                <w:color w:val="000000"/>
                <w:sz w:val="22"/>
              </w:rPr>
            </w:pPr>
            <w:r w:rsidRPr="00B058B2">
              <w:rPr>
                <w:rFonts w:cs="Times New Roman"/>
                <w:b/>
                <w:bCs/>
                <w:color w:val="000000"/>
                <w:sz w:val="22"/>
              </w:rPr>
              <w:t>Objet du marché public :</w:t>
            </w:r>
          </w:p>
          <w:p w14:paraId="424B2A0E" w14:textId="77777777" w:rsidR="004D72DA" w:rsidRPr="00B058B2" w:rsidRDefault="004D72DA" w:rsidP="004D72DA">
            <w:pPr>
              <w:widowControl/>
              <w:autoSpaceDE/>
              <w:autoSpaceDN/>
              <w:adjustRightInd/>
              <w:spacing w:after="0"/>
              <w:ind w:right="510"/>
              <w:rPr>
                <w:rFonts w:cs="Times New Roman"/>
                <w:color w:val="000000"/>
              </w:rPr>
            </w:pPr>
          </w:p>
          <w:p w14:paraId="58992F87" w14:textId="72B4E29C" w:rsidR="004D72DA" w:rsidRPr="00B058B2" w:rsidRDefault="004D72DA" w:rsidP="004D72DA">
            <w:pPr>
              <w:widowControl/>
              <w:autoSpaceDE/>
              <w:autoSpaceDN/>
              <w:adjustRightInd/>
              <w:spacing w:after="0"/>
              <w:ind w:right="510"/>
              <w:rPr>
                <w:rFonts w:cs="Times New Roman"/>
                <w:color w:val="000000"/>
              </w:rPr>
            </w:pPr>
            <w:r w:rsidRPr="00B058B2">
              <w:rPr>
                <w:rFonts w:cs="Times New Roman"/>
                <w:color w:val="000000"/>
              </w:rPr>
              <w:t>Prestations d’</w:t>
            </w:r>
            <w:r>
              <w:rPr>
                <w:rFonts w:cs="Times New Roman"/>
                <w:color w:val="000000"/>
              </w:rPr>
              <w:t xml:space="preserve">audits </w:t>
            </w:r>
            <w:r w:rsidRPr="00AD4541">
              <w:rPr>
                <w:rFonts w:cs="Times New Roman"/>
                <w:color w:val="000000"/>
              </w:rPr>
              <w:t xml:space="preserve">de </w:t>
            </w:r>
            <w:r>
              <w:rPr>
                <w:rFonts w:cs="Times New Roman"/>
                <w:color w:val="000000"/>
              </w:rPr>
              <w:t>comptes</w:t>
            </w:r>
            <w:r w:rsidRPr="00AD4541">
              <w:rPr>
                <w:rFonts w:cs="Times New Roman"/>
                <w:color w:val="000000"/>
              </w:rPr>
              <w:t xml:space="preserve"> </w:t>
            </w:r>
            <w:r>
              <w:rPr>
                <w:rFonts w:cs="Times New Roman"/>
                <w:color w:val="000000"/>
              </w:rPr>
              <w:t xml:space="preserve">de production et </w:t>
            </w:r>
            <w:r w:rsidRPr="00AD4541">
              <w:rPr>
                <w:rFonts w:cs="Times New Roman"/>
                <w:color w:val="000000"/>
              </w:rPr>
              <w:t xml:space="preserve">d’exploitation </w:t>
            </w:r>
            <w:r w:rsidRPr="001C066B">
              <w:rPr>
                <w:rFonts w:cs="Times New Roman"/>
                <w:color w:val="000000"/>
              </w:rPr>
              <w:t>d’œuvres</w:t>
            </w:r>
            <w:r w:rsidR="007245EB">
              <w:rPr>
                <w:rFonts w:cs="Times New Roman"/>
                <w:color w:val="000000"/>
              </w:rPr>
              <w:t xml:space="preserve"> audiovisuelles et</w:t>
            </w:r>
            <w:r w:rsidRPr="001C066B">
              <w:rPr>
                <w:rFonts w:cs="Times New Roman"/>
                <w:color w:val="000000"/>
              </w:rPr>
              <w:t xml:space="preserve"> cinématographiques</w:t>
            </w:r>
          </w:p>
          <w:p w14:paraId="07C14316" w14:textId="77777777" w:rsidR="004D72DA" w:rsidRPr="00B058B2" w:rsidRDefault="004D72DA" w:rsidP="004D72DA">
            <w:pPr>
              <w:widowControl/>
              <w:autoSpaceDE/>
              <w:autoSpaceDN/>
              <w:adjustRightInd/>
              <w:spacing w:after="0"/>
              <w:ind w:left="142" w:right="283" w:hanging="108"/>
              <w:rPr>
                <w:rFonts w:cs="Times New Roman"/>
                <w:b/>
                <w:bCs/>
                <w:color w:val="000000"/>
              </w:rPr>
            </w:pPr>
          </w:p>
          <w:p w14:paraId="1C374BD5" w14:textId="77777777" w:rsidR="004D72DA" w:rsidRPr="00B058B2" w:rsidRDefault="004D72DA" w:rsidP="004D72DA">
            <w:pPr>
              <w:widowControl/>
              <w:autoSpaceDE/>
              <w:autoSpaceDN/>
              <w:adjustRightInd/>
              <w:spacing w:after="0"/>
              <w:ind w:left="142" w:right="283" w:hanging="108"/>
              <w:rPr>
                <w:rFonts w:cs="Times New Roman"/>
                <w:b/>
                <w:bCs/>
                <w:color w:val="000000"/>
                <w:sz w:val="22"/>
              </w:rPr>
            </w:pPr>
            <w:r w:rsidRPr="00B058B2">
              <w:rPr>
                <w:rFonts w:cs="Times New Roman"/>
                <w:b/>
                <w:bCs/>
                <w:color w:val="000000"/>
                <w:sz w:val="22"/>
              </w:rPr>
              <w:t xml:space="preserve">Codes CPV : </w:t>
            </w:r>
          </w:p>
          <w:p w14:paraId="1064DDA2" w14:textId="77777777" w:rsidR="004D72DA" w:rsidRPr="00B058B2" w:rsidRDefault="004D72DA" w:rsidP="004D72DA">
            <w:pPr>
              <w:widowControl/>
              <w:autoSpaceDE/>
              <w:autoSpaceDN/>
              <w:adjustRightInd/>
              <w:spacing w:after="0"/>
              <w:ind w:left="142" w:right="283" w:hanging="108"/>
              <w:rPr>
                <w:rFonts w:cs="Times New Roman"/>
                <w:b/>
                <w:bCs/>
                <w:color w:val="000000"/>
                <w:sz w:val="22"/>
              </w:rPr>
            </w:pPr>
          </w:p>
          <w:p w14:paraId="08974C9F" w14:textId="77777777" w:rsidR="004D72DA" w:rsidRDefault="004D72DA" w:rsidP="004D72DA">
            <w:pPr>
              <w:widowControl/>
              <w:autoSpaceDE/>
              <w:autoSpaceDN/>
              <w:adjustRightInd/>
              <w:spacing w:after="0"/>
              <w:ind w:right="510"/>
              <w:rPr>
                <w:rFonts w:cs="Times New Roman"/>
                <w:color w:val="000000"/>
              </w:rPr>
            </w:pPr>
            <w:r w:rsidRPr="00B058B2">
              <w:rPr>
                <w:rFonts w:cs="Times New Roman"/>
                <w:color w:val="000000"/>
              </w:rPr>
              <w:t>79210000-9 (services de comptabilité et d’audit)</w:t>
            </w:r>
          </w:p>
          <w:p w14:paraId="2F632F27" w14:textId="77777777" w:rsidR="004D72DA" w:rsidRPr="00B058B2" w:rsidRDefault="004D72DA" w:rsidP="004D72DA">
            <w:pPr>
              <w:widowControl/>
              <w:autoSpaceDE/>
              <w:autoSpaceDN/>
              <w:adjustRightInd/>
              <w:spacing w:after="0"/>
              <w:ind w:right="510"/>
              <w:rPr>
                <w:rFonts w:cs="Times New Roman"/>
                <w:color w:val="000000"/>
              </w:rPr>
            </w:pPr>
          </w:p>
          <w:p w14:paraId="0F77622C" w14:textId="77777777" w:rsidR="004D72DA" w:rsidRPr="00B058B2" w:rsidRDefault="004D72DA" w:rsidP="004D72DA">
            <w:pPr>
              <w:widowControl/>
              <w:autoSpaceDE/>
              <w:autoSpaceDN/>
              <w:adjustRightInd/>
              <w:spacing w:after="0"/>
              <w:ind w:right="510"/>
              <w:rPr>
                <w:rFonts w:cs="Times New Roman"/>
                <w:color w:val="000000"/>
              </w:rPr>
            </w:pPr>
          </w:p>
          <w:p w14:paraId="71FDEE99" w14:textId="77777777" w:rsidR="004D72DA" w:rsidRPr="00B058B2" w:rsidRDefault="004D72DA" w:rsidP="004D72DA">
            <w:pPr>
              <w:widowControl/>
              <w:autoSpaceDE/>
              <w:autoSpaceDN/>
              <w:adjustRightInd/>
              <w:spacing w:after="0"/>
              <w:ind w:left="142" w:right="283" w:hanging="108"/>
              <w:rPr>
                <w:rFonts w:cs="Times New Roman"/>
                <w:b/>
                <w:bCs/>
                <w:color w:val="000000"/>
                <w:sz w:val="22"/>
              </w:rPr>
            </w:pPr>
            <w:r>
              <w:rPr>
                <w:rFonts w:cs="Times New Roman"/>
                <w:b/>
                <w:bCs/>
                <w:color w:val="000000"/>
                <w:sz w:val="22"/>
              </w:rPr>
              <w:t>Informations</w:t>
            </w:r>
            <w:r w:rsidRPr="00B058B2">
              <w:rPr>
                <w:rFonts w:cs="Times New Roman"/>
                <w:b/>
                <w:bCs/>
                <w:color w:val="000000"/>
                <w:sz w:val="22"/>
              </w:rPr>
              <w:t xml:space="preserve"> budgétaire</w:t>
            </w:r>
            <w:r>
              <w:rPr>
                <w:rFonts w:cs="Times New Roman"/>
                <w:b/>
                <w:bCs/>
                <w:color w:val="000000"/>
                <w:sz w:val="22"/>
              </w:rPr>
              <w:t>s</w:t>
            </w:r>
            <w:r w:rsidRPr="00B058B2">
              <w:rPr>
                <w:rFonts w:cs="Times New Roman"/>
                <w:b/>
                <w:bCs/>
                <w:color w:val="000000"/>
                <w:sz w:val="22"/>
              </w:rPr>
              <w:t xml:space="preserve"> : </w:t>
            </w:r>
          </w:p>
          <w:p w14:paraId="35B761C3" w14:textId="77777777" w:rsidR="004D72DA" w:rsidRPr="00B058B2" w:rsidRDefault="004D72DA" w:rsidP="004D72DA">
            <w:pPr>
              <w:widowControl/>
              <w:autoSpaceDE/>
              <w:autoSpaceDN/>
              <w:adjustRightInd/>
              <w:spacing w:after="0"/>
              <w:ind w:left="142" w:right="283" w:hanging="108"/>
              <w:rPr>
                <w:rFonts w:cs="Times New Roman"/>
                <w:b/>
                <w:bCs/>
                <w:color w:val="000000"/>
                <w:sz w:val="22"/>
              </w:rPr>
            </w:pPr>
          </w:p>
          <w:p w14:paraId="572E4B2F" w14:textId="7E551C09" w:rsidR="004D72DA" w:rsidRDefault="004D72DA" w:rsidP="00AF578D">
            <w:pPr>
              <w:widowControl/>
              <w:autoSpaceDE/>
              <w:autoSpaceDN/>
              <w:adjustRightInd/>
              <w:spacing w:after="0"/>
              <w:ind w:right="510"/>
              <w:rPr>
                <w:rFonts w:cs="Times New Roman"/>
                <w:color w:val="000000"/>
              </w:rPr>
            </w:pPr>
            <w:bookmarkStart w:id="0" w:name="_Hlk31971203"/>
            <w:bookmarkStart w:id="1" w:name="_Toc442101506"/>
            <w:r w:rsidRPr="00AF578D">
              <w:rPr>
                <w:rFonts w:cs="Times New Roman"/>
                <w:color w:val="000000"/>
              </w:rPr>
              <w:t>Enveloppe :</w:t>
            </w:r>
            <w:r w:rsidR="00046CE4" w:rsidRPr="00AF578D">
              <w:rPr>
                <w:rFonts w:cs="Times New Roman"/>
                <w:color w:val="000000"/>
              </w:rPr>
              <w:t xml:space="preserve"> </w:t>
            </w:r>
            <w:r w:rsidR="00FF6C84">
              <w:rPr>
                <w:rFonts w:cs="Times New Roman"/>
                <w:color w:val="000000"/>
              </w:rPr>
              <w:t>Fonctionnement</w:t>
            </w:r>
          </w:p>
          <w:p w14:paraId="44FDA2D1" w14:textId="72BF8970" w:rsidR="00AF578D" w:rsidRPr="00AF578D" w:rsidRDefault="00AF578D" w:rsidP="00AF578D">
            <w:pPr>
              <w:widowControl/>
              <w:autoSpaceDE/>
              <w:autoSpaceDN/>
              <w:adjustRightInd/>
              <w:spacing w:after="0"/>
              <w:ind w:right="510"/>
              <w:rPr>
                <w:rFonts w:cs="Times New Roman"/>
                <w:color w:val="000000"/>
              </w:rPr>
            </w:pPr>
            <w:r>
              <w:rPr>
                <w:rFonts w:cs="Times New Roman"/>
                <w:color w:val="000000"/>
              </w:rPr>
              <w:t xml:space="preserve">Destination : </w:t>
            </w:r>
            <w:r w:rsidR="008736C1">
              <w:rPr>
                <w:szCs w:val="24"/>
                <w:lang w:eastAsia="zh-CN"/>
              </w:rPr>
              <w:t>A141 et A241</w:t>
            </w:r>
          </w:p>
          <w:bookmarkEnd w:id="0"/>
          <w:p w14:paraId="46DBEDD5" w14:textId="5B9F23A1" w:rsidR="004D72DA" w:rsidRPr="00B058B2" w:rsidRDefault="004D72DA" w:rsidP="004D72DA">
            <w:pPr>
              <w:widowControl/>
              <w:autoSpaceDE/>
              <w:autoSpaceDN/>
              <w:adjustRightInd/>
              <w:spacing w:after="0"/>
              <w:ind w:right="510"/>
              <w:rPr>
                <w:rFonts w:cs="Times New Roman"/>
                <w:b/>
                <w:color w:val="000000"/>
              </w:rPr>
            </w:pPr>
          </w:p>
          <w:p w14:paraId="47E20E37" w14:textId="77777777" w:rsidR="00662B1E" w:rsidRDefault="004D72DA" w:rsidP="004D72DA">
            <w:pPr>
              <w:widowControl/>
              <w:autoSpaceDE/>
              <w:autoSpaceDN/>
              <w:adjustRightInd/>
              <w:ind w:right="283"/>
              <w:rPr>
                <w:rFonts w:cs="Times New Roman"/>
                <w:b/>
                <w:bCs/>
                <w:color w:val="000000"/>
                <w:sz w:val="22"/>
              </w:rPr>
            </w:pPr>
            <w:r w:rsidRPr="00B058B2">
              <w:rPr>
                <w:rFonts w:cs="Times New Roman"/>
                <w:b/>
                <w:bCs/>
                <w:color w:val="000000"/>
                <w:sz w:val="22"/>
              </w:rPr>
              <w:t>ANNEXES :</w:t>
            </w:r>
            <w:bookmarkEnd w:id="1"/>
            <w:r>
              <w:rPr>
                <w:rFonts w:cs="Times New Roman"/>
                <w:b/>
                <w:bCs/>
                <w:color w:val="000000"/>
                <w:sz w:val="22"/>
              </w:rPr>
              <w:t xml:space="preserve"> </w:t>
            </w:r>
          </w:p>
          <w:p w14:paraId="06D41FC0" w14:textId="38B9DCE5" w:rsidR="00B01CB5" w:rsidRPr="00FF6C84" w:rsidRDefault="004A23EB" w:rsidP="00205AB7">
            <w:pPr>
              <w:pStyle w:val="Paragraphedeliste"/>
              <w:numPr>
                <w:ilvl w:val="0"/>
                <w:numId w:val="9"/>
              </w:numPr>
              <w:rPr>
                <w:rFonts w:cs="Times New Roman"/>
                <w:bCs/>
                <w:color w:val="000000"/>
              </w:rPr>
            </w:pPr>
            <w:r w:rsidRPr="00FF6C84">
              <w:rPr>
                <w:rFonts w:cs="Times New Roman"/>
                <w:bCs/>
                <w:color w:val="000000"/>
              </w:rPr>
              <w:t>Annexe 1 :</w:t>
            </w:r>
            <w:r w:rsidR="000B153C" w:rsidRPr="00FF6C84">
              <w:rPr>
                <w:rFonts w:cs="Times New Roman"/>
                <w:bCs/>
                <w:color w:val="000000"/>
              </w:rPr>
              <w:t xml:space="preserve"> </w:t>
            </w:r>
            <w:r w:rsidR="00B01CB5" w:rsidRPr="00FF6C84">
              <w:rPr>
                <w:rFonts w:cs="Times New Roman"/>
                <w:bCs/>
                <w:color w:val="000000"/>
              </w:rPr>
              <w:t>Questionnaire « Egalité et diversité »</w:t>
            </w:r>
          </w:p>
          <w:p w14:paraId="1E4BFFFC" w14:textId="77777777" w:rsidR="000B153C" w:rsidRPr="000B153C" w:rsidRDefault="000B153C" w:rsidP="006C716A">
            <w:pPr>
              <w:pStyle w:val="Paragraphedeliste"/>
              <w:ind w:left="720"/>
              <w:rPr>
                <w:rFonts w:cs="Times New Roman"/>
                <w:bCs/>
                <w:color w:val="000000"/>
              </w:rPr>
            </w:pPr>
          </w:p>
          <w:p w14:paraId="49CE57BB" w14:textId="25A094D3" w:rsidR="004F65A6" w:rsidRDefault="004F65A6" w:rsidP="004D72DA">
            <w:pPr>
              <w:widowControl/>
              <w:autoSpaceDE/>
              <w:autoSpaceDN/>
              <w:adjustRightInd/>
              <w:spacing w:after="0"/>
              <w:ind w:left="1440" w:right="-15"/>
              <w:rPr>
                <w:color w:val="000000"/>
              </w:rPr>
            </w:pPr>
          </w:p>
          <w:p w14:paraId="45AE8C95" w14:textId="77777777" w:rsidR="00B058B2" w:rsidRDefault="00B058B2" w:rsidP="00B058B2">
            <w:pPr>
              <w:widowControl/>
              <w:autoSpaceDE/>
              <w:autoSpaceDN/>
              <w:adjustRightInd/>
              <w:spacing w:after="0"/>
              <w:ind w:right="-15"/>
              <w:rPr>
                <w:color w:val="000000"/>
              </w:rPr>
            </w:pPr>
          </w:p>
          <w:p w14:paraId="545411E9" w14:textId="77777777" w:rsidR="00B058B2" w:rsidRDefault="00B058B2" w:rsidP="00B058B2">
            <w:pPr>
              <w:widowControl/>
              <w:autoSpaceDE/>
              <w:autoSpaceDN/>
              <w:adjustRightInd/>
              <w:spacing w:after="0"/>
              <w:ind w:right="-15"/>
              <w:rPr>
                <w:color w:val="000000"/>
              </w:rPr>
            </w:pPr>
          </w:p>
          <w:p w14:paraId="383FF30F" w14:textId="77777777" w:rsidR="00B058B2" w:rsidRDefault="00B058B2" w:rsidP="00B058B2">
            <w:pPr>
              <w:widowControl/>
              <w:autoSpaceDE/>
              <w:autoSpaceDN/>
              <w:adjustRightInd/>
              <w:spacing w:after="0"/>
              <w:ind w:right="-15"/>
              <w:rPr>
                <w:color w:val="000000"/>
              </w:rPr>
            </w:pPr>
          </w:p>
          <w:p w14:paraId="085C5102" w14:textId="77777777" w:rsidR="00B058B2" w:rsidRDefault="00B058B2" w:rsidP="00B058B2">
            <w:pPr>
              <w:widowControl/>
              <w:autoSpaceDE/>
              <w:autoSpaceDN/>
              <w:adjustRightInd/>
              <w:spacing w:after="0"/>
              <w:ind w:right="-15"/>
              <w:rPr>
                <w:color w:val="000000"/>
              </w:rPr>
            </w:pPr>
          </w:p>
          <w:p w14:paraId="589C62F0" w14:textId="77777777" w:rsidR="00B058B2" w:rsidRPr="00B058B2" w:rsidRDefault="00B058B2" w:rsidP="00B058B2">
            <w:pPr>
              <w:widowControl/>
              <w:autoSpaceDE/>
              <w:autoSpaceDN/>
              <w:adjustRightInd/>
              <w:spacing w:after="0"/>
              <w:ind w:right="-15"/>
              <w:rPr>
                <w:color w:val="000000"/>
              </w:rPr>
            </w:pPr>
          </w:p>
          <w:p w14:paraId="028C6749" w14:textId="77777777" w:rsidR="00B058B2" w:rsidRPr="00B058B2" w:rsidRDefault="00B058B2" w:rsidP="00B058B2">
            <w:pPr>
              <w:widowControl/>
              <w:autoSpaceDE/>
              <w:autoSpaceDN/>
              <w:adjustRightInd/>
              <w:spacing w:after="0"/>
              <w:ind w:left="1440" w:right="-15"/>
              <w:rPr>
                <w:color w:val="000000"/>
              </w:rPr>
            </w:pPr>
          </w:p>
        </w:tc>
      </w:tr>
    </w:tbl>
    <w:p w14:paraId="749111D6" w14:textId="77777777" w:rsidR="009A21CB" w:rsidRDefault="009A21CB" w:rsidP="008A65BE">
      <w:pPr>
        <w:pStyle w:val="Titre"/>
        <w:sectPr w:rsidR="009A21CB" w:rsidSect="005F0D06">
          <w:footerReference w:type="default" r:id="rId8"/>
          <w:footerReference w:type="first" r:id="rId9"/>
          <w:type w:val="continuous"/>
          <w:pgSz w:w="11907" w:h="16840" w:code="9"/>
          <w:pgMar w:top="851" w:right="851" w:bottom="851" w:left="992" w:header="680" w:footer="794" w:gutter="0"/>
          <w:cols w:num="2" w:space="140"/>
          <w:titlePg/>
          <w:docGrid w:linePitch="272"/>
        </w:sectPr>
      </w:pPr>
    </w:p>
    <w:p w14:paraId="786FE855" w14:textId="77777777" w:rsidR="003A6CF3" w:rsidRDefault="00A77A1E" w:rsidP="008A65BE">
      <w:pPr>
        <w:pStyle w:val="Titre"/>
      </w:pPr>
      <w:r w:rsidRPr="00A77A1E">
        <w:lastRenderedPageBreak/>
        <w:t>SOMMAIRE</w:t>
      </w:r>
    </w:p>
    <w:p w14:paraId="3331AA0A" w14:textId="5ABB8C6B" w:rsidR="004F67DE" w:rsidRDefault="00CD37B4">
      <w:pPr>
        <w:pStyle w:val="TM1"/>
        <w:rPr>
          <w:rFonts w:eastAsiaTheme="minorEastAsia" w:cstheme="minorBidi"/>
          <w:b w:val="0"/>
          <w:bCs w:val="0"/>
          <w:caps w:val="0"/>
          <w:noProof/>
          <w:kern w:val="2"/>
          <w:sz w:val="24"/>
          <w:szCs w:val="24"/>
          <w14:ligatures w14:val="standardContextual"/>
        </w:rPr>
      </w:pPr>
      <w:r>
        <w:rPr>
          <w:kern w:val="32"/>
          <w:sz w:val="28"/>
          <w:szCs w:val="32"/>
        </w:rPr>
        <w:fldChar w:fldCharType="begin"/>
      </w:r>
      <w:r>
        <w:rPr>
          <w:kern w:val="32"/>
          <w:sz w:val="28"/>
          <w:szCs w:val="32"/>
        </w:rPr>
        <w:instrText xml:space="preserve"> TOC \o "1-2" \h \z \u </w:instrText>
      </w:r>
      <w:r>
        <w:rPr>
          <w:kern w:val="32"/>
          <w:sz w:val="28"/>
          <w:szCs w:val="32"/>
        </w:rPr>
        <w:fldChar w:fldCharType="separate"/>
      </w:r>
      <w:hyperlink w:anchor="_Toc220490770" w:history="1">
        <w:r w:rsidR="004F67DE" w:rsidRPr="00846AC3">
          <w:rPr>
            <w:rStyle w:val="Lienhypertexte"/>
            <w:noProof/>
            <w14:scene3d>
              <w14:camera w14:prst="orthographicFront"/>
              <w14:lightRig w14:rig="threePt" w14:dir="t">
                <w14:rot w14:lat="0" w14:lon="0" w14:rev="0"/>
              </w14:lightRig>
            </w14:scene3d>
          </w:rPr>
          <w:t>Article 1 -</w:t>
        </w:r>
        <w:r w:rsidR="004F67DE">
          <w:rPr>
            <w:rFonts w:eastAsiaTheme="minorEastAsia" w:cstheme="minorBidi"/>
            <w:b w:val="0"/>
            <w:bCs w:val="0"/>
            <w:caps w:val="0"/>
            <w:noProof/>
            <w:kern w:val="2"/>
            <w:sz w:val="24"/>
            <w:szCs w:val="24"/>
            <w14:ligatures w14:val="standardContextual"/>
          </w:rPr>
          <w:tab/>
        </w:r>
        <w:r w:rsidR="004F67DE" w:rsidRPr="00846AC3">
          <w:rPr>
            <w:rStyle w:val="Lienhypertexte"/>
            <w:noProof/>
          </w:rPr>
          <w:t>DEFINITIONS</w:t>
        </w:r>
        <w:r w:rsidR="004F67DE">
          <w:rPr>
            <w:noProof/>
            <w:webHidden/>
          </w:rPr>
          <w:tab/>
        </w:r>
        <w:r w:rsidR="004F67DE">
          <w:rPr>
            <w:noProof/>
            <w:webHidden/>
          </w:rPr>
          <w:fldChar w:fldCharType="begin"/>
        </w:r>
        <w:r w:rsidR="004F67DE">
          <w:rPr>
            <w:noProof/>
            <w:webHidden/>
          </w:rPr>
          <w:instrText xml:space="preserve"> PAGEREF _Toc220490770 \h </w:instrText>
        </w:r>
        <w:r w:rsidR="004F67DE">
          <w:rPr>
            <w:noProof/>
            <w:webHidden/>
          </w:rPr>
        </w:r>
        <w:r w:rsidR="004F67DE">
          <w:rPr>
            <w:noProof/>
            <w:webHidden/>
          </w:rPr>
          <w:fldChar w:fldCharType="separate"/>
        </w:r>
        <w:r w:rsidR="004F67DE">
          <w:rPr>
            <w:noProof/>
            <w:webHidden/>
          </w:rPr>
          <w:t>4</w:t>
        </w:r>
        <w:r w:rsidR="004F67DE">
          <w:rPr>
            <w:noProof/>
            <w:webHidden/>
          </w:rPr>
          <w:fldChar w:fldCharType="end"/>
        </w:r>
      </w:hyperlink>
    </w:p>
    <w:p w14:paraId="135507B2" w14:textId="6675D649" w:rsidR="004F67DE" w:rsidRDefault="004F67DE">
      <w:pPr>
        <w:pStyle w:val="TM1"/>
        <w:rPr>
          <w:rFonts w:eastAsiaTheme="minorEastAsia" w:cstheme="minorBidi"/>
          <w:b w:val="0"/>
          <w:bCs w:val="0"/>
          <w:caps w:val="0"/>
          <w:noProof/>
          <w:kern w:val="2"/>
          <w:sz w:val="24"/>
          <w:szCs w:val="24"/>
          <w14:ligatures w14:val="standardContextual"/>
        </w:rPr>
      </w:pPr>
      <w:hyperlink w:anchor="_Toc220490771" w:history="1">
        <w:r w:rsidRPr="00846AC3">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846AC3">
          <w:rPr>
            <w:rStyle w:val="Lienhypertexte"/>
            <w:noProof/>
          </w:rPr>
          <w:t>CARACTERISTIQUES PRINCIPALES DU MARCHE</w:t>
        </w:r>
        <w:r>
          <w:rPr>
            <w:noProof/>
            <w:webHidden/>
          </w:rPr>
          <w:tab/>
        </w:r>
        <w:r>
          <w:rPr>
            <w:noProof/>
            <w:webHidden/>
          </w:rPr>
          <w:fldChar w:fldCharType="begin"/>
        </w:r>
        <w:r>
          <w:rPr>
            <w:noProof/>
            <w:webHidden/>
          </w:rPr>
          <w:instrText xml:space="preserve"> PAGEREF _Toc220490771 \h </w:instrText>
        </w:r>
        <w:r>
          <w:rPr>
            <w:noProof/>
            <w:webHidden/>
          </w:rPr>
        </w:r>
        <w:r>
          <w:rPr>
            <w:noProof/>
            <w:webHidden/>
          </w:rPr>
          <w:fldChar w:fldCharType="separate"/>
        </w:r>
        <w:r>
          <w:rPr>
            <w:noProof/>
            <w:webHidden/>
          </w:rPr>
          <w:t>4</w:t>
        </w:r>
        <w:r>
          <w:rPr>
            <w:noProof/>
            <w:webHidden/>
          </w:rPr>
          <w:fldChar w:fldCharType="end"/>
        </w:r>
      </w:hyperlink>
    </w:p>
    <w:p w14:paraId="4014E4C5" w14:textId="1A9950EB"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72" w:history="1">
        <w:r w:rsidRPr="00846AC3">
          <w:rPr>
            <w:rStyle w:val="Lienhypertexte"/>
            <w:noProof/>
          </w:rPr>
          <w:t>2.1</w:t>
        </w:r>
        <w:r>
          <w:rPr>
            <w:rFonts w:eastAsiaTheme="minorEastAsia" w:cstheme="minorBidi"/>
            <w:smallCaps w:val="0"/>
            <w:noProof/>
            <w:kern w:val="2"/>
            <w:sz w:val="24"/>
            <w:szCs w:val="24"/>
            <w14:ligatures w14:val="standardContextual"/>
          </w:rPr>
          <w:tab/>
        </w:r>
        <w:r w:rsidRPr="00846AC3">
          <w:rPr>
            <w:rStyle w:val="Lienhypertexte"/>
            <w:noProof/>
          </w:rPr>
          <w:t>Objet du Marché public</w:t>
        </w:r>
        <w:r>
          <w:rPr>
            <w:noProof/>
            <w:webHidden/>
          </w:rPr>
          <w:tab/>
        </w:r>
        <w:r>
          <w:rPr>
            <w:noProof/>
            <w:webHidden/>
          </w:rPr>
          <w:fldChar w:fldCharType="begin"/>
        </w:r>
        <w:r>
          <w:rPr>
            <w:noProof/>
            <w:webHidden/>
          </w:rPr>
          <w:instrText xml:space="preserve"> PAGEREF _Toc220490772 \h </w:instrText>
        </w:r>
        <w:r>
          <w:rPr>
            <w:noProof/>
            <w:webHidden/>
          </w:rPr>
        </w:r>
        <w:r>
          <w:rPr>
            <w:noProof/>
            <w:webHidden/>
          </w:rPr>
          <w:fldChar w:fldCharType="separate"/>
        </w:r>
        <w:r>
          <w:rPr>
            <w:noProof/>
            <w:webHidden/>
          </w:rPr>
          <w:t>4</w:t>
        </w:r>
        <w:r>
          <w:rPr>
            <w:noProof/>
            <w:webHidden/>
          </w:rPr>
          <w:fldChar w:fldCharType="end"/>
        </w:r>
      </w:hyperlink>
    </w:p>
    <w:p w14:paraId="7C9940BD" w14:textId="5C875412"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73" w:history="1">
        <w:r w:rsidRPr="00846AC3">
          <w:rPr>
            <w:rStyle w:val="Lienhypertexte"/>
            <w:noProof/>
          </w:rPr>
          <w:t>2.2</w:t>
        </w:r>
        <w:r>
          <w:rPr>
            <w:rFonts w:eastAsiaTheme="minorEastAsia" w:cstheme="minorBidi"/>
            <w:smallCaps w:val="0"/>
            <w:noProof/>
            <w:kern w:val="2"/>
            <w:sz w:val="24"/>
            <w:szCs w:val="24"/>
            <w14:ligatures w14:val="standardContextual"/>
          </w:rPr>
          <w:tab/>
        </w:r>
        <w:r w:rsidRPr="00846AC3">
          <w:rPr>
            <w:rStyle w:val="Lienhypertexte"/>
            <w:noProof/>
          </w:rPr>
          <w:t>Forme et montant du Marché public</w:t>
        </w:r>
        <w:r>
          <w:rPr>
            <w:noProof/>
            <w:webHidden/>
          </w:rPr>
          <w:tab/>
        </w:r>
        <w:r>
          <w:rPr>
            <w:noProof/>
            <w:webHidden/>
          </w:rPr>
          <w:fldChar w:fldCharType="begin"/>
        </w:r>
        <w:r>
          <w:rPr>
            <w:noProof/>
            <w:webHidden/>
          </w:rPr>
          <w:instrText xml:space="preserve"> PAGEREF _Toc220490773 \h </w:instrText>
        </w:r>
        <w:r>
          <w:rPr>
            <w:noProof/>
            <w:webHidden/>
          </w:rPr>
        </w:r>
        <w:r>
          <w:rPr>
            <w:noProof/>
            <w:webHidden/>
          </w:rPr>
          <w:fldChar w:fldCharType="separate"/>
        </w:r>
        <w:r>
          <w:rPr>
            <w:noProof/>
            <w:webHidden/>
          </w:rPr>
          <w:t>4</w:t>
        </w:r>
        <w:r>
          <w:rPr>
            <w:noProof/>
            <w:webHidden/>
          </w:rPr>
          <w:fldChar w:fldCharType="end"/>
        </w:r>
      </w:hyperlink>
    </w:p>
    <w:p w14:paraId="1E55976F" w14:textId="79E529DF"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74" w:history="1">
        <w:r w:rsidRPr="00846AC3">
          <w:rPr>
            <w:rStyle w:val="Lienhypertexte"/>
            <w:noProof/>
          </w:rPr>
          <w:t>2.3</w:t>
        </w:r>
        <w:r>
          <w:rPr>
            <w:rFonts w:eastAsiaTheme="minorEastAsia" w:cstheme="minorBidi"/>
            <w:smallCaps w:val="0"/>
            <w:noProof/>
            <w:kern w:val="2"/>
            <w:sz w:val="24"/>
            <w:szCs w:val="24"/>
            <w14:ligatures w14:val="standardContextual"/>
          </w:rPr>
          <w:tab/>
        </w:r>
        <w:r w:rsidRPr="00846AC3">
          <w:rPr>
            <w:rStyle w:val="Lienhypertexte"/>
            <w:noProof/>
          </w:rPr>
          <w:t>Nombre d’attributaires</w:t>
        </w:r>
        <w:r>
          <w:rPr>
            <w:noProof/>
            <w:webHidden/>
          </w:rPr>
          <w:tab/>
        </w:r>
        <w:r>
          <w:rPr>
            <w:noProof/>
            <w:webHidden/>
          </w:rPr>
          <w:fldChar w:fldCharType="begin"/>
        </w:r>
        <w:r>
          <w:rPr>
            <w:noProof/>
            <w:webHidden/>
          </w:rPr>
          <w:instrText xml:space="preserve"> PAGEREF _Toc220490774 \h </w:instrText>
        </w:r>
        <w:r>
          <w:rPr>
            <w:noProof/>
            <w:webHidden/>
          </w:rPr>
        </w:r>
        <w:r>
          <w:rPr>
            <w:noProof/>
            <w:webHidden/>
          </w:rPr>
          <w:fldChar w:fldCharType="separate"/>
        </w:r>
        <w:r>
          <w:rPr>
            <w:noProof/>
            <w:webHidden/>
          </w:rPr>
          <w:t>4</w:t>
        </w:r>
        <w:r>
          <w:rPr>
            <w:noProof/>
            <w:webHidden/>
          </w:rPr>
          <w:fldChar w:fldCharType="end"/>
        </w:r>
      </w:hyperlink>
    </w:p>
    <w:p w14:paraId="549F5211" w14:textId="5AC3D731"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75" w:history="1">
        <w:r w:rsidRPr="00846AC3">
          <w:rPr>
            <w:rStyle w:val="Lienhypertexte"/>
            <w:noProof/>
          </w:rPr>
          <w:t>2.4</w:t>
        </w:r>
        <w:r>
          <w:rPr>
            <w:rFonts w:eastAsiaTheme="minorEastAsia" w:cstheme="minorBidi"/>
            <w:smallCaps w:val="0"/>
            <w:noProof/>
            <w:kern w:val="2"/>
            <w:sz w:val="24"/>
            <w:szCs w:val="24"/>
            <w14:ligatures w14:val="standardContextual"/>
          </w:rPr>
          <w:tab/>
        </w:r>
        <w:r w:rsidRPr="00846AC3">
          <w:rPr>
            <w:rStyle w:val="Lienhypertexte"/>
            <w:noProof/>
          </w:rPr>
          <w:t>Durée du Marché public</w:t>
        </w:r>
        <w:r>
          <w:rPr>
            <w:noProof/>
            <w:webHidden/>
          </w:rPr>
          <w:tab/>
        </w:r>
        <w:r>
          <w:rPr>
            <w:noProof/>
            <w:webHidden/>
          </w:rPr>
          <w:fldChar w:fldCharType="begin"/>
        </w:r>
        <w:r>
          <w:rPr>
            <w:noProof/>
            <w:webHidden/>
          </w:rPr>
          <w:instrText xml:space="preserve"> PAGEREF _Toc220490775 \h </w:instrText>
        </w:r>
        <w:r>
          <w:rPr>
            <w:noProof/>
            <w:webHidden/>
          </w:rPr>
        </w:r>
        <w:r>
          <w:rPr>
            <w:noProof/>
            <w:webHidden/>
          </w:rPr>
          <w:fldChar w:fldCharType="separate"/>
        </w:r>
        <w:r>
          <w:rPr>
            <w:noProof/>
            <w:webHidden/>
          </w:rPr>
          <w:t>4</w:t>
        </w:r>
        <w:r>
          <w:rPr>
            <w:noProof/>
            <w:webHidden/>
          </w:rPr>
          <w:fldChar w:fldCharType="end"/>
        </w:r>
      </w:hyperlink>
    </w:p>
    <w:p w14:paraId="7F1C40B8" w14:textId="33B5DBF3"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76" w:history="1">
        <w:r w:rsidRPr="00846AC3">
          <w:rPr>
            <w:rStyle w:val="Lienhypertexte"/>
            <w:noProof/>
          </w:rPr>
          <w:t>2.5</w:t>
        </w:r>
        <w:r>
          <w:rPr>
            <w:rFonts w:eastAsiaTheme="minorEastAsia" w:cstheme="minorBidi"/>
            <w:smallCaps w:val="0"/>
            <w:noProof/>
            <w:kern w:val="2"/>
            <w:sz w:val="24"/>
            <w:szCs w:val="24"/>
            <w14:ligatures w14:val="standardContextual"/>
          </w:rPr>
          <w:tab/>
        </w:r>
        <w:r w:rsidRPr="00846AC3">
          <w:rPr>
            <w:rStyle w:val="Lienhypertexte"/>
            <w:noProof/>
          </w:rPr>
          <w:t>Procédure de consultation</w:t>
        </w:r>
        <w:r>
          <w:rPr>
            <w:noProof/>
            <w:webHidden/>
          </w:rPr>
          <w:tab/>
        </w:r>
        <w:r>
          <w:rPr>
            <w:noProof/>
            <w:webHidden/>
          </w:rPr>
          <w:fldChar w:fldCharType="begin"/>
        </w:r>
        <w:r>
          <w:rPr>
            <w:noProof/>
            <w:webHidden/>
          </w:rPr>
          <w:instrText xml:space="preserve"> PAGEREF _Toc220490776 \h </w:instrText>
        </w:r>
        <w:r>
          <w:rPr>
            <w:noProof/>
            <w:webHidden/>
          </w:rPr>
        </w:r>
        <w:r>
          <w:rPr>
            <w:noProof/>
            <w:webHidden/>
          </w:rPr>
          <w:fldChar w:fldCharType="separate"/>
        </w:r>
        <w:r>
          <w:rPr>
            <w:noProof/>
            <w:webHidden/>
          </w:rPr>
          <w:t>4</w:t>
        </w:r>
        <w:r>
          <w:rPr>
            <w:noProof/>
            <w:webHidden/>
          </w:rPr>
          <w:fldChar w:fldCharType="end"/>
        </w:r>
      </w:hyperlink>
    </w:p>
    <w:p w14:paraId="79EBDE48" w14:textId="0B22B31F" w:rsidR="004F67DE" w:rsidRDefault="004F67DE">
      <w:pPr>
        <w:pStyle w:val="TM1"/>
        <w:rPr>
          <w:rFonts w:eastAsiaTheme="minorEastAsia" w:cstheme="minorBidi"/>
          <w:b w:val="0"/>
          <w:bCs w:val="0"/>
          <w:caps w:val="0"/>
          <w:noProof/>
          <w:kern w:val="2"/>
          <w:sz w:val="24"/>
          <w:szCs w:val="24"/>
          <w14:ligatures w14:val="standardContextual"/>
        </w:rPr>
      </w:pPr>
      <w:hyperlink w:anchor="_Toc220490777" w:history="1">
        <w:r w:rsidRPr="00846AC3">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846AC3">
          <w:rPr>
            <w:rStyle w:val="Lienhypertexte"/>
            <w:noProof/>
          </w:rPr>
          <w:t>REPRESENTANTS DES PARTIES</w:t>
        </w:r>
        <w:r>
          <w:rPr>
            <w:noProof/>
            <w:webHidden/>
          </w:rPr>
          <w:tab/>
        </w:r>
        <w:r>
          <w:rPr>
            <w:noProof/>
            <w:webHidden/>
          </w:rPr>
          <w:fldChar w:fldCharType="begin"/>
        </w:r>
        <w:r>
          <w:rPr>
            <w:noProof/>
            <w:webHidden/>
          </w:rPr>
          <w:instrText xml:space="preserve"> PAGEREF _Toc220490777 \h </w:instrText>
        </w:r>
        <w:r>
          <w:rPr>
            <w:noProof/>
            <w:webHidden/>
          </w:rPr>
        </w:r>
        <w:r>
          <w:rPr>
            <w:noProof/>
            <w:webHidden/>
          </w:rPr>
          <w:fldChar w:fldCharType="separate"/>
        </w:r>
        <w:r>
          <w:rPr>
            <w:noProof/>
            <w:webHidden/>
          </w:rPr>
          <w:t>4</w:t>
        </w:r>
        <w:r>
          <w:rPr>
            <w:noProof/>
            <w:webHidden/>
          </w:rPr>
          <w:fldChar w:fldCharType="end"/>
        </w:r>
      </w:hyperlink>
    </w:p>
    <w:p w14:paraId="68BB71B5" w14:textId="6C2B0FFF"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78" w:history="1">
        <w:r w:rsidRPr="00846AC3">
          <w:rPr>
            <w:rStyle w:val="Lienhypertexte"/>
            <w:noProof/>
          </w:rPr>
          <w:t>3.1</w:t>
        </w:r>
        <w:r>
          <w:rPr>
            <w:rFonts w:eastAsiaTheme="minorEastAsia" w:cstheme="minorBidi"/>
            <w:smallCaps w:val="0"/>
            <w:noProof/>
            <w:kern w:val="2"/>
            <w:sz w:val="24"/>
            <w:szCs w:val="24"/>
            <w14:ligatures w14:val="standardContextual"/>
          </w:rPr>
          <w:tab/>
        </w:r>
        <w:r w:rsidRPr="00846AC3">
          <w:rPr>
            <w:rStyle w:val="Lienhypertexte"/>
            <w:noProof/>
          </w:rPr>
          <w:t>Représentation du pouvoir adjudicateur</w:t>
        </w:r>
        <w:r>
          <w:rPr>
            <w:noProof/>
            <w:webHidden/>
          </w:rPr>
          <w:tab/>
        </w:r>
        <w:r>
          <w:rPr>
            <w:noProof/>
            <w:webHidden/>
          </w:rPr>
          <w:fldChar w:fldCharType="begin"/>
        </w:r>
        <w:r>
          <w:rPr>
            <w:noProof/>
            <w:webHidden/>
          </w:rPr>
          <w:instrText xml:space="preserve"> PAGEREF _Toc220490778 \h </w:instrText>
        </w:r>
        <w:r>
          <w:rPr>
            <w:noProof/>
            <w:webHidden/>
          </w:rPr>
        </w:r>
        <w:r>
          <w:rPr>
            <w:noProof/>
            <w:webHidden/>
          </w:rPr>
          <w:fldChar w:fldCharType="separate"/>
        </w:r>
        <w:r>
          <w:rPr>
            <w:noProof/>
            <w:webHidden/>
          </w:rPr>
          <w:t>4</w:t>
        </w:r>
        <w:r>
          <w:rPr>
            <w:noProof/>
            <w:webHidden/>
          </w:rPr>
          <w:fldChar w:fldCharType="end"/>
        </w:r>
      </w:hyperlink>
    </w:p>
    <w:p w14:paraId="7A0608D6" w14:textId="7AFEC4DA"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79" w:history="1">
        <w:r w:rsidRPr="00846AC3">
          <w:rPr>
            <w:rStyle w:val="Lienhypertexte"/>
            <w:noProof/>
          </w:rPr>
          <w:t>3.2</w:t>
        </w:r>
        <w:r>
          <w:rPr>
            <w:rFonts w:eastAsiaTheme="minorEastAsia" w:cstheme="minorBidi"/>
            <w:smallCaps w:val="0"/>
            <w:noProof/>
            <w:kern w:val="2"/>
            <w:sz w:val="24"/>
            <w:szCs w:val="24"/>
            <w14:ligatures w14:val="standardContextual"/>
          </w:rPr>
          <w:tab/>
        </w:r>
        <w:r w:rsidRPr="00846AC3">
          <w:rPr>
            <w:rStyle w:val="Lienhypertexte"/>
            <w:noProof/>
          </w:rPr>
          <w:t>Représentation du Titulaire</w:t>
        </w:r>
        <w:r>
          <w:rPr>
            <w:noProof/>
            <w:webHidden/>
          </w:rPr>
          <w:tab/>
        </w:r>
        <w:r>
          <w:rPr>
            <w:noProof/>
            <w:webHidden/>
          </w:rPr>
          <w:fldChar w:fldCharType="begin"/>
        </w:r>
        <w:r>
          <w:rPr>
            <w:noProof/>
            <w:webHidden/>
          </w:rPr>
          <w:instrText xml:space="preserve"> PAGEREF _Toc220490779 \h </w:instrText>
        </w:r>
        <w:r>
          <w:rPr>
            <w:noProof/>
            <w:webHidden/>
          </w:rPr>
        </w:r>
        <w:r>
          <w:rPr>
            <w:noProof/>
            <w:webHidden/>
          </w:rPr>
          <w:fldChar w:fldCharType="separate"/>
        </w:r>
        <w:r>
          <w:rPr>
            <w:noProof/>
            <w:webHidden/>
          </w:rPr>
          <w:t>5</w:t>
        </w:r>
        <w:r>
          <w:rPr>
            <w:noProof/>
            <w:webHidden/>
          </w:rPr>
          <w:fldChar w:fldCharType="end"/>
        </w:r>
      </w:hyperlink>
    </w:p>
    <w:p w14:paraId="548E0303" w14:textId="27A8B42E" w:rsidR="004F67DE" w:rsidRDefault="004F67DE">
      <w:pPr>
        <w:pStyle w:val="TM1"/>
        <w:rPr>
          <w:rFonts w:eastAsiaTheme="minorEastAsia" w:cstheme="minorBidi"/>
          <w:b w:val="0"/>
          <w:bCs w:val="0"/>
          <w:caps w:val="0"/>
          <w:noProof/>
          <w:kern w:val="2"/>
          <w:sz w:val="24"/>
          <w:szCs w:val="24"/>
          <w14:ligatures w14:val="standardContextual"/>
        </w:rPr>
      </w:pPr>
      <w:hyperlink w:anchor="_Toc220490780" w:history="1">
        <w:r w:rsidRPr="00846AC3">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846AC3">
          <w:rPr>
            <w:rStyle w:val="Lienhypertexte"/>
            <w:noProof/>
          </w:rPr>
          <w:t>DOCUMENTS CONTRACTUELS</w:t>
        </w:r>
        <w:r>
          <w:rPr>
            <w:noProof/>
            <w:webHidden/>
          </w:rPr>
          <w:tab/>
        </w:r>
        <w:r>
          <w:rPr>
            <w:noProof/>
            <w:webHidden/>
          </w:rPr>
          <w:fldChar w:fldCharType="begin"/>
        </w:r>
        <w:r>
          <w:rPr>
            <w:noProof/>
            <w:webHidden/>
          </w:rPr>
          <w:instrText xml:space="preserve"> PAGEREF _Toc220490780 \h </w:instrText>
        </w:r>
        <w:r>
          <w:rPr>
            <w:noProof/>
            <w:webHidden/>
          </w:rPr>
        </w:r>
        <w:r>
          <w:rPr>
            <w:noProof/>
            <w:webHidden/>
          </w:rPr>
          <w:fldChar w:fldCharType="separate"/>
        </w:r>
        <w:r>
          <w:rPr>
            <w:noProof/>
            <w:webHidden/>
          </w:rPr>
          <w:t>5</w:t>
        </w:r>
        <w:r>
          <w:rPr>
            <w:noProof/>
            <w:webHidden/>
          </w:rPr>
          <w:fldChar w:fldCharType="end"/>
        </w:r>
      </w:hyperlink>
    </w:p>
    <w:p w14:paraId="67165AEF" w14:textId="57CD9B94" w:rsidR="004F67DE" w:rsidRDefault="004F67DE">
      <w:pPr>
        <w:pStyle w:val="TM1"/>
        <w:rPr>
          <w:rFonts w:eastAsiaTheme="minorEastAsia" w:cstheme="minorBidi"/>
          <w:b w:val="0"/>
          <w:bCs w:val="0"/>
          <w:caps w:val="0"/>
          <w:noProof/>
          <w:kern w:val="2"/>
          <w:sz w:val="24"/>
          <w:szCs w:val="24"/>
          <w14:ligatures w14:val="standardContextual"/>
        </w:rPr>
      </w:pPr>
      <w:hyperlink w:anchor="_Toc220490781" w:history="1">
        <w:r w:rsidRPr="00846AC3">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846AC3">
          <w:rPr>
            <w:rStyle w:val="Lienhypertexte"/>
            <w:noProof/>
          </w:rPr>
          <w:t>CONDITIONS D’EXECUTION</w:t>
        </w:r>
        <w:r>
          <w:rPr>
            <w:noProof/>
            <w:webHidden/>
          </w:rPr>
          <w:tab/>
        </w:r>
        <w:r>
          <w:rPr>
            <w:noProof/>
            <w:webHidden/>
          </w:rPr>
          <w:fldChar w:fldCharType="begin"/>
        </w:r>
        <w:r>
          <w:rPr>
            <w:noProof/>
            <w:webHidden/>
          </w:rPr>
          <w:instrText xml:space="preserve"> PAGEREF _Toc220490781 \h </w:instrText>
        </w:r>
        <w:r>
          <w:rPr>
            <w:noProof/>
            <w:webHidden/>
          </w:rPr>
        </w:r>
        <w:r>
          <w:rPr>
            <w:noProof/>
            <w:webHidden/>
          </w:rPr>
          <w:fldChar w:fldCharType="separate"/>
        </w:r>
        <w:r>
          <w:rPr>
            <w:noProof/>
            <w:webHidden/>
          </w:rPr>
          <w:t>5</w:t>
        </w:r>
        <w:r>
          <w:rPr>
            <w:noProof/>
            <w:webHidden/>
          </w:rPr>
          <w:fldChar w:fldCharType="end"/>
        </w:r>
      </w:hyperlink>
    </w:p>
    <w:p w14:paraId="5FAB82A6" w14:textId="0F2EF729"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82" w:history="1">
        <w:r w:rsidRPr="00846AC3">
          <w:rPr>
            <w:rStyle w:val="Lienhypertexte"/>
            <w:noProof/>
          </w:rPr>
          <w:t>5.1</w:t>
        </w:r>
        <w:r>
          <w:rPr>
            <w:rFonts w:eastAsiaTheme="minorEastAsia" w:cstheme="minorBidi"/>
            <w:smallCaps w:val="0"/>
            <w:noProof/>
            <w:kern w:val="2"/>
            <w:sz w:val="24"/>
            <w:szCs w:val="24"/>
            <w14:ligatures w14:val="standardContextual"/>
          </w:rPr>
          <w:tab/>
        </w:r>
        <w:r w:rsidRPr="00846AC3">
          <w:rPr>
            <w:rStyle w:val="Lienhypertexte"/>
            <w:noProof/>
          </w:rPr>
          <w:t>Passation des commandes</w:t>
        </w:r>
        <w:r>
          <w:rPr>
            <w:noProof/>
            <w:webHidden/>
          </w:rPr>
          <w:tab/>
        </w:r>
        <w:r>
          <w:rPr>
            <w:noProof/>
            <w:webHidden/>
          </w:rPr>
          <w:fldChar w:fldCharType="begin"/>
        </w:r>
        <w:r>
          <w:rPr>
            <w:noProof/>
            <w:webHidden/>
          </w:rPr>
          <w:instrText xml:space="preserve"> PAGEREF _Toc220490782 \h </w:instrText>
        </w:r>
        <w:r>
          <w:rPr>
            <w:noProof/>
            <w:webHidden/>
          </w:rPr>
        </w:r>
        <w:r>
          <w:rPr>
            <w:noProof/>
            <w:webHidden/>
          </w:rPr>
          <w:fldChar w:fldCharType="separate"/>
        </w:r>
        <w:r>
          <w:rPr>
            <w:noProof/>
            <w:webHidden/>
          </w:rPr>
          <w:t>5</w:t>
        </w:r>
        <w:r>
          <w:rPr>
            <w:noProof/>
            <w:webHidden/>
          </w:rPr>
          <w:fldChar w:fldCharType="end"/>
        </w:r>
      </w:hyperlink>
    </w:p>
    <w:p w14:paraId="51C015DC" w14:textId="1CEE2451"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83" w:history="1">
        <w:r w:rsidRPr="00846AC3">
          <w:rPr>
            <w:rStyle w:val="Lienhypertexte"/>
            <w:noProof/>
          </w:rPr>
          <w:t>5.2</w:t>
        </w:r>
        <w:r>
          <w:rPr>
            <w:rFonts w:eastAsiaTheme="minorEastAsia" w:cstheme="minorBidi"/>
            <w:smallCaps w:val="0"/>
            <w:noProof/>
            <w:kern w:val="2"/>
            <w:sz w:val="24"/>
            <w:szCs w:val="24"/>
            <w14:ligatures w14:val="standardContextual"/>
          </w:rPr>
          <w:tab/>
        </w:r>
        <w:r w:rsidRPr="00846AC3">
          <w:rPr>
            <w:rStyle w:val="Lienhypertexte"/>
            <w:noProof/>
          </w:rPr>
          <w:t>Gestion des conflits d’interêts</w:t>
        </w:r>
        <w:r>
          <w:rPr>
            <w:noProof/>
            <w:webHidden/>
          </w:rPr>
          <w:tab/>
        </w:r>
        <w:r>
          <w:rPr>
            <w:noProof/>
            <w:webHidden/>
          </w:rPr>
          <w:fldChar w:fldCharType="begin"/>
        </w:r>
        <w:r>
          <w:rPr>
            <w:noProof/>
            <w:webHidden/>
          </w:rPr>
          <w:instrText xml:space="preserve"> PAGEREF _Toc220490783 \h </w:instrText>
        </w:r>
        <w:r>
          <w:rPr>
            <w:noProof/>
            <w:webHidden/>
          </w:rPr>
        </w:r>
        <w:r>
          <w:rPr>
            <w:noProof/>
            <w:webHidden/>
          </w:rPr>
          <w:fldChar w:fldCharType="separate"/>
        </w:r>
        <w:r>
          <w:rPr>
            <w:noProof/>
            <w:webHidden/>
          </w:rPr>
          <w:t>6</w:t>
        </w:r>
        <w:r>
          <w:rPr>
            <w:noProof/>
            <w:webHidden/>
          </w:rPr>
          <w:fldChar w:fldCharType="end"/>
        </w:r>
      </w:hyperlink>
    </w:p>
    <w:p w14:paraId="511386EA" w14:textId="09BAACBC"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84" w:history="1">
        <w:r w:rsidRPr="00846AC3">
          <w:rPr>
            <w:rStyle w:val="Lienhypertexte"/>
            <w:noProof/>
          </w:rPr>
          <w:t>5.3</w:t>
        </w:r>
        <w:r>
          <w:rPr>
            <w:rFonts w:eastAsiaTheme="minorEastAsia" w:cstheme="minorBidi"/>
            <w:smallCaps w:val="0"/>
            <w:noProof/>
            <w:kern w:val="2"/>
            <w:sz w:val="24"/>
            <w:szCs w:val="24"/>
            <w14:ligatures w14:val="standardContextual"/>
          </w:rPr>
          <w:tab/>
        </w:r>
        <w:r w:rsidRPr="00846AC3">
          <w:rPr>
            <w:rStyle w:val="Lienhypertexte"/>
            <w:noProof/>
          </w:rPr>
          <w:t>Obligation de confidentialité</w:t>
        </w:r>
        <w:r>
          <w:rPr>
            <w:noProof/>
            <w:webHidden/>
          </w:rPr>
          <w:tab/>
        </w:r>
        <w:r>
          <w:rPr>
            <w:noProof/>
            <w:webHidden/>
          </w:rPr>
          <w:fldChar w:fldCharType="begin"/>
        </w:r>
        <w:r>
          <w:rPr>
            <w:noProof/>
            <w:webHidden/>
          </w:rPr>
          <w:instrText xml:space="preserve"> PAGEREF _Toc220490784 \h </w:instrText>
        </w:r>
        <w:r>
          <w:rPr>
            <w:noProof/>
            <w:webHidden/>
          </w:rPr>
        </w:r>
        <w:r>
          <w:rPr>
            <w:noProof/>
            <w:webHidden/>
          </w:rPr>
          <w:fldChar w:fldCharType="separate"/>
        </w:r>
        <w:r>
          <w:rPr>
            <w:noProof/>
            <w:webHidden/>
          </w:rPr>
          <w:t>7</w:t>
        </w:r>
        <w:r>
          <w:rPr>
            <w:noProof/>
            <w:webHidden/>
          </w:rPr>
          <w:fldChar w:fldCharType="end"/>
        </w:r>
      </w:hyperlink>
    </w:p>
    <w:p w14:paraId="752BB1B8" w14:textId="54D273C5"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85" w:history="1">
        <w:r w:rsidRPr="00846AC3">
          <w:rPr>
            <w:rStyle w:val="Lienhypertexte"/>
            <w:noProof/>
          </w:rPr>
          <w:t>5.4</w:t>
        </w:r>
        <w:r>
          <w:rPr>
            <w:rFonts w:eastAsiaTheme="minorEastAsia" w:cstheme="minorBidi"/>
            <w:smallCaps w:val="0"/>
            <w:noProof/>
            <w:kern w:val="2"/>
            <w:sz w:val="24"/>
            <w:szCs w:val="24"/>
            <w14:ligatures w14:val="standardContextual"/>
          </w:rPr>
          <w:tab/>
        </w:r>
        <w:r w:rsidRPr="00846AC3">
          <w:rPr>
            <w:rStyle w:val="Lienhypertexte"/>
            <w:noProof/>
          </w:rPr>
          <w:t>Coopération</w:t>
        </w:r>
        <w:r>
          <w:rPr>
            <w:noProof/>
            <w:webHidden/>
          </w:rPr>
          <w:tab/>
        </w:r>
        <w:r>
          <w:rPr>
            <w:noProof/>
            <w:webHidden/>
          </w:rPr>
          <w:fldChar w:fldCharType="begin"/>
        </w:r>
        <w:r>
          <w:rPr>
            <w:noProof/>
            <w:webHidden/>
          </w:rPr>
          <w:instrText xml:space="preserve"> PAGEREF _Toc220490785 \h </w:instrText>
        </w:r>
        <w:r>
          <w:rPr>
            <w:noProof/>
            <w:webHidden/>
          </w:rPr>
        </w:r>
        <w:r>
          <w:rPr>
            <w:noProof/>
            <w:webHidden/>
          </w:rPr>
          <w:fldChar w:fldCharType="separate"/>
        </w:r>
        <w:r>
          <w:rPr>
            <w:noProof/>
            <w:webHidden/>
          </w:rPr>
          <w:t>7</w:t>
        </w:r>
        <w:r>
          <w:rPr>
            <w:noProof/>
            <w:webHidden/>
          </w:rPr>
          <w:fldChar w:fldCharType="end"/>
        </w:r>
      </w:hyperlink>
    </w:p>
    <w:p w14:paraId="284DE392" w14:textId="0AD4DD67"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86" w:history="1">
        <w:r w:rsidRPr="00846AC3">
          <w:rPr>
            <w:rStyle w:val="Lienhypertexte"/>
            <w:noProof/>
          </w:rPr>
          <w:t>5.5</w:t>
        </w:r>
        <w:r>
          <w:rPr>
            <w:rFonts w:eastAsiaTheme="minorEastAsia" w:cstheme="minorBidi"/>
            <w:smallCaps w:val="0"/>
            <w:noProof/>
            <w:kern w:val="2"/>
            <w:sz w:val="24"/>
            <w:szCs w:val="24"/>
            <w14:ligatures w14:val="standardContextual"/>
          </w:rPr>
          <w:tab/>
        </w:r>
        <w:r w:rsidRPr="00846AC3">
          <w:rPr>
            <w:rStyle w:val="Lienhypertexte"/>
            <w:noProof/>
          </w:rPr>
          <w:t>Responsabilités</w:t>
        </w:r>
        <w:r>
          <w:rPr>
            <w:noProof/>
            <w:webHidden/>
          </w:rPr>
          <w:tab/>
        </w:r>
        <w:r>
          <w:rPr>
            <w:noProof/>
            <w:webHidden/>
          </w:rPr>
          <w:fldChar w:fldCharType="begin"/>
        </w:r>
        <w:r>
          <w:rPr>
            <w:noProof/>
            <w:webHidden/>
          </w:rPr>
          <w:instrText xml:space="preserve"> PAGEREF _Toc220490786 \h </w:instrText>
        </w:r>
        <w:r>
          <w:rPr>
            <w:noProof/>
            <w:webHidden/>
          </w:rPr>
        </w:r>
        <w:r>
          <w:rPr>
            <w:noProof/>
            <w:webHidden/>
          </w:rPr>
          <w:fldChar w:fldCharType="separate"/>
        </w:r>
        <w:r>
          <w:rPr>
            <w:noProof/>
            <w:webHidden/>
          </w:rPr>
          <w:t>7</w:t>
        </w:r>
        <w:r>
          <w:rPr>
            <w:noProof/>
            <w:webHidden/>
          </w:rPr>
          <w:fldChar w:fldCharType="end"/>
        </w:r>
      </w:hyperlink>
    </w:p>
    <w:p w14:paraId="4F20181A" w14:textId="2CC98159"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87" w:history="1">
        <w:r w:rsidRPr="00846AC3">
          <w:rPr>
            <w:rStyle w:val="Lienhypertexte"/>
            <w:noProof/>
          </w:rPr>
          <w:t>5.6</w:t>
        </w:r>
        <w:r>
          <w:rPr>
            <w:rFonts w:eastAsiaTheme="minorEastAsia" w:cstheme="minorBidi"/>
            <w:smallCaps w:val="0"/>
            <w:noProof/>
            <w:kern w:val="2"/>
            <w:sz w:val="24"/>
            <w:szCs w:val="24"/>
            <w14:ligatures w14:val="standardContextual"/>
          </w:rPr>
          <w:tab/>
        </w:r>
        <w:r w:rsidRPr="00846AC3">
          <w:rPr>
            <w:rStyle w:val="Lienhypertexte"/>
            <w:noProof/>
          </w:rPr>
          <w:t>Formes des communications</w:t>
        </w:r>
        <w:r>
          <w:rPr>
            <w:noProof/>
            <w:webHidden/>
          </w:rPr>
          <w:tab/>
        </w:r>
        <w:r>
          <w:rPr>
            <w:noProof/>
            <w:webHidden/>
          </w:rPr>
          <w:fldChar w:fldCharType="begin"/>
        </w:r>
        <w:r>
          <w:rPr>
            <w:noProof/>
            <w:webHidden/>
          </w:rPr>
          <w:instrText xml:space="preserve"> PAGEREF _Toc220490787 \h </w:instrText>
        </w:r>
        <w:r>
          <w:rPr>
            <w:noProof/>
            <w:webHidden/>
          </w:rPr>
        </w:r>
        <w:r>
          <w:rPr>
            <w:noProof/>
            <w:webHidden/>
          </w:rPr>
          <w:fldChar w:fldCharType="separate"/>
        </w:r>
        <w:r>
          <w:rPr>
            <w:noProof/>
            <w:webHidden/>
          </w:rPr>
          <w:t>8</w:t>
        </w:r>
        <w:r>
          <w:rPr>
            <w:noProof/>
            <w:webHidden/>
          </w:rPr>
          <w:fldChar w:fldCharType="end"/>
        </w:r>
      </w:hyperlink>
    </w:p>
    <w:p w14:paraId="1D4982E7" w14:textId="01A07FE3"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88" w:history="1">
        <w:r w:rsidRPr="00846AC3">
          <w:rPr>
            <w:rStyle w:val="Lienhypertexte"/>
            <w:noProof/>
          </w:rPr>
          <w:t>5.7</w:t>
        </w:r>
        <w:r>
          <w:rPr>
            <w:rFonts w:eastAsiaTheme="minorEastAsia" w:cstheme="minorBidi"/>
            <w:smallCaps w:val="0"/>
            <w:noProof/>
            <w:kern w:val="2"/>
            <w:sz w:val="24"/>
            <w:szCs w:val="24"/>
            <w14:ligatures w14:val="standardContextual"/>
          </w:rPr>
          <w:tab/>
        </w:r>
        <w:r w:rsidRPr="00846AC3">
          <w:rPr>
            <w:rStyle w:val="Lienhypertexte"/>
            <w:noProof/>
          </w:rPr>
          <w:t>Personne nommément désignée</w:t>
        </w:r>
        <w:r>
          <w:rPr>
            <w:noProof/>
            <w:webHidden/>
          </w:rPr>
          <w:tab/>
        </w:r>
        <w:r>
          <w:rPr>
            <w:noProof/>
            <w:webHidden/>
          </w:rPr>
          <w:fldChar w:fldCharType="begin"/>
        </w:r>
        <w:r>
          <w:rPr>
            <w:noProof/>
            <w:webHidden/>
          </w:rPr>
          <w:instrText xml:space="preserve"> PAGEREF _Toc220490788 \h </w:instrText>
        </w:r>
        <w:r>
          <w:rPr>
            <w:noProof/>
            <w:webHidden/>
          </w:rPr>
        </w:r>
        <w:r>
          <w:rPr>
            <w:noProof/>
            <w:webHidden/>
          </w:rPr>
          <w:fldChar w:fldCharType="separate"/>
        </w:r>
        <w:r>
          <w:rPr>
            <w:noProof/>
            <w:webHidden/>
          </w:rPr>
          <w:t>8</w:t>
        </w:r>
        <w:r>
          <w:rPr>
            <w:noProof/>
            <w:webHidden/>
          </w:rPr>
          <w:fldChar w:fldCharType="end"/>
        </w:r>
      </w:hyperlink>
    </w:p>
    <w:p w14:paraId="282F8926" w14:textId="71A10FA2" w:rsidR="004F67DE" w:rsidRDefault="004F67DE">
      <w:pPr>
        <w:pStyle w:val="TM1"/>
        <w:rPr>
          <w:rFonts w:eastAsiaTheme="minorEastAsia" w:cstheme="minorBidi"/>
          <w:b w:val="0"/>
          <w:bCs w:val="0"/>
          <w:caps w:val="0"/>
          <w:noProof/>
          <w:kern w:val="2"/>
          <w:sz w:val="24"/>
          <w:szCs w:val="24"/>
          <w14:ligatures w14:val="standardContextual"/>
        </w:rPr>
      </w:pPr>
      <w:hyperlink w:anchor="_Toc220490789" w:history="1">
        <w:r w:rsidRPr="00846AC3">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846AC3">
          <w:rPr>
            <w:rStyle w:val="Lienhypertexte"/>
            <w:noProof/>
          </w:rPr>
          <w:t>MODALITES DE VERIFICATION DES PRESTATIONS</w:t>
        </w:r>
        <w:r>
          <w:rPr>
            <w:noProof/>
            <w:webHidden/>
          </w:rPr>
          <w:tab/>
        </w:r>
        <w:r>
          <w:rPr>
            <w:noProof/>
            <w:webHidden/>
          </w:rPr>
          <w:fldChar w:fldCharType="begin"/>
        </w:r>
        <w:r>
          <w:rPr>
            <w:noProof/>
            <w:webHidden/>
          </w:rPr>
          <w:instrText xml:space="preserve"> PAGEREF _Toc220490789 \h </w:instrText>
        </w:r>
        <w:r>
          <w:rPr>
            <w:noProof/>
            <w:webHidden/>
          </w:rPr>
        </w:r>
        <w:r>
          <w:rPr>
            <w:noProof/>
            <w:webHidden/>
          </w:rPr>
          <w:fldChar w:fldCharType="separate"/>
        </w:r>
        <w:r>
          <w:rPr>
            <w:noProof/>
            <w:webHidden/>
          </w:rPr>
          <w:t>8</w:t>
        </w:r>
        <w:r>
          <w:rPr>
            <w:noProof/>
            <w:webHidden/>
          </w:rPr>
          <w:fldChar w:fldCharType="end"/>
        </w:r>
      </w:hyperlink>
    </w:p>
    <w:p w14:paraId="42AD373E" w14:textId="4ED27423" w:rsidR="004F67DE" w:rsidRDefault="004F67DE">
      <w:pPr>
        <w:pStyle w:val="TM1"/>
        <w:rPr>
          <w:rFonts w:eastAsiaTheme="minorEastAsia" w:cstheme="minorBidi"/>
          <w:b w:val="0"/>
          <w:bCs w:val="0"/>
          <w:caps w:val="0"/>
          <w:noProof/>
          <w:kern w:val="2"/>
          <w:sz w:val="24"/>
          <w:szCs w:val="24"/>
          <w14:ligatures w14:val="standardContextual"/>
        </w:rPr>
      </w:pPr>
      <w:hyperlink w:anchor="_Toc220490790" w:history="1">
        <w:r w:rsidRPr="00846AC3">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846AC3">
          <w:rPr>
            <w:rStyle w:val="Lienhypertexte"/>
            <w:noProof/>
          </w:rPr>
          <w:t>Propriété intellectuelle</w:t>
        </w:r>
        <w:r>
          <w:rPr>
            <w:noProof/>
            <w:webHidden/>
          </w:rPr>
          <w:tab/>
        </w:r>
        <w:r>
          <w:rPr>
            <w:noProof/>
            <w:webHidden/>
          </w:rPr>
          <w:fldChar w:fldCharType="begin"/>
        </w:r>
        <w:r>
          <w:rPr>
            <w:noProof/>
            <w:webHidden/>
          </w:rPr>
          <w:instrText xml:space="preserve"> PAGEREF _Toc220490790 \h </w:instrText>
        </w:r>
        <w:r>
          <w:rPr>
            <w:noProof/>
            <w:webHidden/>
          </w:rPr>
        </w:r>
        <w:r>
          <w:rPr>
            <w:noProof/>
            <w:webHidden/>
          </w:rPr>
          <w:fldChar w:fldCharType="separate"/>
        </w:r>
        <w:r>
          <w:rPr>
            <w:noProof/>
            <w:webHidden/>
          </w:rPr>
          <w:t>8</w:t>
        </w:r>
        <w:r>
          <w:rPr>
            <w:noProof/>
            <w:webHidden/>
          </w:rPr>
          <w:fldChar w:fldCharType="end"/>
        </w:r>
      </w:hyperlink>
    </w:p>
    <w:p w14:paraId="0A2D2775" w14:textId="7178EA7C"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91" w:history="1">
        <w:r w:rsidRPr="00846AC3">
          <w:rPr>
            <w:rStyle w:val="Lienhypertexte"/>
            <w:noProof/>
          </w:rPr>
          <w:t>7.1</w:t>
        </w:r>
        <w:r>
          <w:rPr>
            <w:rFonts w:eastAsiaTheme="minorEastAsia" w:cstheme="minorBidi"/>
            <w:smallCaps w:val="0"/>
            <w:noProof/>
            <w:kern w:val="2"/>
            <w:sz w:val="24"/>
            <w:szCs w:val="24"/>
            <w14:ligatures w14:val="standardContextual"/>
          </w:rPr>
          <w:tab/>
        </w:r>
        <w:r w:rsidRPr="00846AC3">
          <w:rPr>
            <w:rStyle w:val="Lienhypertexte"/>
            <w:noProof/>
          </w:rPr>
          <w:t>Identification des droits cédés</w:t>
        </w:r>
        <w:r>
          <w:rPr>
            <w:noProof/>
            <w:webHidden/>
          </w:rPr>
          <w:tab/>
        </w:r>
        <w:r>
          <w:rPr>
            <w:noProof/>
            <w:webHidden/>
          </w:rPr>
          <w:fldChar w:fldCharType="begin"/>
        </w:r>
        <w:r>
          <w:rPr>
            <w:noProof/>
            <w:webHidden/>
          </w:rPr>
          <w:instrText xml:space="preserve"> PAGEREF _Toc220490791 \h </w:instrText>
        </w:r>
        <w:r>
          <w:rPr>
            <w:noProof/>
            <w:webHidden/>
          </w:rPr>
        </w:r>
        <w:r>
          <w:rPr>
            <w:noProof/>
            <w:webHidden/>
          </w:rPr>
          <w:fldChar w:fldCharType="separate"/>
        </w:r>
        <w:r>
          <w:rPr>
            <w:noProof/>
            <w:webHidden/>
          </w:rPr>
          <w:t>8</w:t>
        </w:r>
        <w:r>
          <w:rPr>
            <w:noProof/>
            <w:webHidden/>
          </w:rPr>
          <w:fldChar w:fldCharType="end"/>
        </w:r>
      </w:hyperlink>
    </w:p>
    <w:p w14:paraId="014F767E" w14:textId="16F5144B"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92" w:history="1">
        <w:r w:rsidRPr="00846AC3">
          <w:rPr>
            <w:rStyle w:val="Lienhypertexte"/>
            <w:noProof/>
          </w:rPr>
          <w:t>7.2</w:t>
        </w:r>
        <w:r>
          <w:rPr>
            <w:rFonts w:eastAsiaTheme="minorEastAsia" w:cstheme="minorBidi"/>
            <w:smallCaps w:val="0"/>
            <w:noProof/>
            <w:kern w:val="2"/>
            <w:sz w:val="24"/>
            <w:szCs w:val="24"/>
            <w14:ligatures w14:val="standardContextual"/>
          </w:rPr>
          <w:tab/>
        </w:r>
        <w:r w:rsidRPr="00846AC3">
          <w:rPr>
            <w:rStyle w:val="Lienhypertexte"/>
            <w:noProof/>
          </w:rPr>
          <w:t>Modes d’exploitation des droits cédés</w:t>
        </w:r>
        <w:r>
          <w:rPr>
            <w:noProof/>
            <w:webHidden/>
          </w:rPr>
          <w:tab/>
        </w:r>
        <w:r>
          <w:rPr>
            <w:noProof/>
            <w:webHidden/>
          </w:rPr>
          <w:fldChar w:fldCharType="begin"/>
        </w:r>
        <w:r>
          <w:rPr>
            <w:noProof/>
            <w:webHidden/>
          </w:rPr>
          <w:instrText xml:space="preserve"> PAGEREF _Toc220490792 \h </w:instrText>
        </w:r>
        <w:r>
          <w:rPr>
            <w:noProof/>
            <w:webHidden/>
          </w:rPr>
        </w:r>
        <w:r>
          <w:rPr>
            <w:noProof/>
            <w:webHidden/>
          </w:rPr>
          <w:fldChar w:fldCharType="separate"/>
        </w:r>
        <w:r>
          <w:rPr>
            <w:noProof/>
            <w:webHidden/>
          </w:rPr>
          <w:t>9</w:t>
        </w:r>
        <w:r>
          <w:rPr>
            <w:noProof/>
            <w:webHidden/>
          </w:rPr>
          <w:fldChar w:fldCharType="end"/>
        </w:r>
      </w:hyperlink>
    </w:p>
    <w:p w14:paraId="60818215" w14:textId="66B92031"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93" w:history="1">
        <w:r w:rsidRPr="00846AC3">
          <w:rPr>
            <w:rStyle w:val="Lienhypertexte"/>
            <w:noProof/>
          </w:rPr>
          <w:t>7.3</w:t>
        </w:r>
        <w:r>
          <w:rPr>
            <w:rFonts w:eastAsiaTheme="minorEastAsia" w:cstheme="minorBidi"/>
            <w:smallCaps w:val="0"/>
            <w:noProof/>
            <w:kern w:val="2"/>
            <w:sz w:val="24"/>
            <w:szCs w:val="24"/>
            <w14:ligatures w14:val="standardContextual"/>
          </w:rPr>
          <w:tab/>
        </w:r>
        <w:r w:rsidRPr="00846AC3">
          <w:rPr>
            <w:rStyle w:val="Lienhypertexte"/>
            <w:noProof/>
          </w:rPr>
          <w:t>Lieu de l’exploitation</w:t>
        </w:r>
        <w:r>
          <w:rPr>
            <w:noProof/>
            <w:webHidden/>
          </w:rPr>
          <w:tab/>
        </w:r>
        <w:r>
          <w:rPr>
            <w:noProof/>
            <w:webHidden/>
          </w:rPr>
          <w:fldChar w:fldCharType="begin"/>
        </w:r>
        <w:r>
          <w:rPr>
            <w:noProof/>
            <w:webHidden/>
          </w:rPr>
          <w:instrText xml:space="preserve"> PAGEREF _Toc220490793 \h </w:instrText>
        </w:r>
        <w:r>
          <w:rPr>
            <w:noProof/>
            <w:webHidden/>
          </w:rPr>
        </w:r>
        <w:r>
          <w:rPr>
            <w:noProof/>
            <w:webHidden/>
          </w:rPr>
          <w:fldChar w:fldCharType="separate"/>
        </w:r>
        <w:r>
          <w:rPr>
            <w:noProof/>
            <w:webHidden/>
          </w:rPr>
          <w:t>9</w:t>
        </w:r>
        <w:r>
          <w:rPr>
            <w:noProof/>
            <w:webHidden/>
          </w:rPr>
          <w:fldChar w:fldCharType="end"/>
        </w:r>
      </w:hyperlink>
    </w:p>
    <w:p w14:paraId="63685651" w14:textId="25EEE46A"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94" w:history="1">
        <w:r w:rsidRPr="00846AC3">
          <w:rPr>
            <w:rStyle w:val="Lienhypertexte"/>
            <w:noProof/>
          </w:rPr>
          <w:t>7.4</w:t>
        </w:r>
        <w:r>
          <w:rPr>
            <w:rFonts w:eastAsiaTheme="minorEastAsia" w:cstheme="minorBidi"/>
            <w:smallCaps w:val="0"/>
            <w:noProof/>
            <w:kern w:val="2"/>
            <w:sz w:val="24"/>
            <w:szCs w:val="24"/>
            <w14:ligatures w14:val="standardContextual"/>
          </w:rPr>
          <w:tab/>
        </w:r>
        <w:r w:rsidRPr="00846AC3">
          <w:rPr>
            <w:rStyle w:val="Lienhypertexte"/>
            <w:noProof/>
          </w:rPr>
          <w:t>Durée de l’exploitation</w:t>
        </w:r>
        <w:r>
          <w:rPr>
            <w:noProof/>
            <w:webHidden/>
          </w:rPr>
          <w:tab/>
        </w:r>
        <w:r>
          <w:rPr>
            <w:noProof/>
            <w:webHidden/>
          </w:rPr>
          <w:fldChar w:fldCharType="begin"/>
        </w:r>
        <w:r>
          <w:rPr>
            <w:noProof/>
            <w:webHidden/>
          </w:rPr>
          <w:instrText xml:space="preserve"> PAGEREF _Toc220490794 \h </w:instrText>
        </w:r>
        <w:r>
          <w:rPr>
            <w:noProof/>
            <w:webHidden/>
          </w:rPr>
        </w:r>
        <w:r>
          <w:rPr>
            <w:noProof/>
            <w:webHidden/>
          </w:rPr>
          <w:fldChar w:fldCharType="separate"/>
        </w:r>
        <w:r>
          <w:rPr>
            <w:noProof/>
            <w:webHidden/>
          </w:rPr>
          <w:t>9</w:t>
        </w:r>
        <w:r>
          <w:rPr>
            <w:noProof/>
            <w:webHidden/>
          </w:rPr>
          <w:fldChar w:fldCharType="end"/>
        </w:r>
      </w:hyperlink>
    </w:p>
    <w:p w14:paraId="34C43BF1" w14:textId="786EF97F"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95" w:history="1">
        <w:r w:rsidRPr="00846AC3">
          <w:rPr>
            <w:rStyle w:val="Lienhypertexte"/>
            <w:noProof/>
          </w:rPr>
          <w:t>7.5</w:t>
        </w:r>
        <w:r>
          <w:rPr>
            <w:rFonts w:eastAsiaTheme="minorEastAsia" w:cstheme="minorBidi"/>
            <w:smallCaps w:val="0"/>
            <w:noProof/>
            <w:kern w:val="2"/>
            <w:sz w:val="24"/>
            <w:szCs w:val="24"/>
            <w14:ligatures w14:val="standardContextual"/>
          </w:rPr>
          <w:tab/>
        </w:r>
        <w:r w:rsidRPr="00846AC3">
          <w:rPr>
            <w:rStyle w:val="Lienhypertexte"/>
            <w:noProof/>
          </w:rPr>
          <w:t>Exclusivité</w:t>
        </w:r>
        <w:r>
          <w:rPr>
            <w:noProof/>
            <w:webHidden/>
          </w:rPr>
          <w:tab/>
        </w:r>
        <w:r>
          <w:rPr>
            <w:noProof/>
            <w:webHidden/>
          </w:rPr>
          <w:fldChar w:fldCharType="begin"/>
        </w:r>
        <w:r>
          <w:rPr>
            <w:noProof/>
            <w:webHidden/>
          </w:rPr>
          <w:instrText xml:space="preserve"> PAGEREF _Toc220490795 \h </w:instrText>
        </w:r>
        <w:r>
          <w:rPr>
            <w:noProof/>
            <w:webHidden/>
          </w:rPr>
        </w:r>
        <w:r>
          <w:rPr>
            <w:noProof/>
            <w:webHidden/>
          </w:rPr>
          <w:fldChar w:fldCharType="separate"/>
        </w:r>
        <w:r>
          <w:rPr>
            <w:noProof/>
            <w:webHidden/>
          </w:rPr>
          <w:t>9</w:t>
        </w:r>
        <w:r>
          <w:rPr>
            <w:noProof/>
            <w:webHidden/>
          </w:rPr>
          <w:fldChar w:fldCharType="end"/>
        </w:r>
      </w:hyperlink>
    </w:p>
    <w:p w14:paraId="673C5035" w14:textId="79CC70F8"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96" w:history="1">
        <w:r w:rsidRPr="00846AC3">
          <w:rPr>
            <w:rStyle w:val="Lienhypertexte"/>
            <w:noProof/>
          </w:rPr>
          <w:t>7.6</w:t>
        </w:r>
        <w:r>
          <w:rPr>
            <w:rFonts w:eastAsiaTheme="minorEastAsia" w:cstheme="minorBidi"/>
            <w:smallCaps w:val="0"/>
            <w:noProof/>
            <w:kern w:val="2"/>
            <w:sz w:val="24"/>
            <w:szCs w:val="24"/>
            <w14:ligatures w14:val="standardContextual"/>
          </w:rPr>
          <w:tab/>
        </w:r>
        <w:r w:rsidRPr="00846AC3">
          <w:rPr>
            <w:rStyle w:val="Lienhypertexte"/>
            <w:noProof/>
          </w:rPr>
          <w:t>Prix de cession</w:t>
        </w:r>
        <w:r>
          <w:rPr>
            <w:noProof/>
            <w:webHidden/>
          </w:rPr>
          <w:tab/>
        </w:r>
        <w:r>
          <w:rPr>
            <w:noProof/>
            <w:webHidden/>
          </w:rPr>
          <w:fldChar w:fldCharType="begin"/>
        </w:r>
        <w:r>
          <w:rPr>
            <w:noProof/>
            <w:webHidden/>
          </w:rPr>
          <w:instrText xml:space="preserve"> PAGEREF _Toc220490796 \h </w:instrText>
        </w:r>
        <w:r>
          <w:rPr>
            <w:noProof/>
            <w:webHidden/>
          </w:rPr>
        </w:r>
        <w:r>
          <w:rPr>
            <w:noProof/>
            <w:webHidden/>
          </w:rPr>
          <w:fldChar w:fldCharType="separate"/>
        </w:r>
        <w:r>
          <w:rPr>
            <w:noProof/>
            <w:webHidden/>
          </w:rPr>
          <w:t>9</w:t>
        </w:r>
        <w:r>
          <w:rPr>
            <w:noProof/>
            <w:webHidden/>
          </w:rPr>
          <w:fldChar w:fldCharType="end"/>
        </w:r>
      </w:hyperlink>
    </w:p>
    <w:p w14:paraId="0FDE0249" w14:textId="0D711691" w:rsidR="004F67DE" w:rsidRDefault="004F67DE">
      <w:pPr>
        <w:pStyle w:val="TM1"/>
        <w:rPr>
          <w:rFonts w:eastAsiaTheme="minorEastAsia" w:cstheme="minorBidi"/>
          <w:b w:val="0"/>
          <w:bCs w:val="0"/>
          <w:caps w:val="0"/>
          <w:noProof/>
          <w:kern w:val="2"/>
          <w:sz w:val="24"/>
          <w:szCs w:val="24"/>
          <w14:ligatures w14:val="standardContextual"/>
        </w:rPr>
      </w:pPr>
      <w:hyperlink w:anchor="_Toc220490797" w:history="1">
        <w:r w:rsidRPr="00846AC3">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846AC3">
          <w:rPr>
            <w:rStyle w:val="Lienhypertexte"/>
            <w:noProof/>
          </w:rPr>
          <w:t>PRIX DU MARCHE</w:t>
        </w:r>
        <w:r>
          <w:rPr>
            <w:noProof/>
            <w:webHidden/>
          </w:rPr>
          <w:tab/>
        </w:r>
        <w:r>
          <w:rPr>
            <w:noProof/>
            <w:webHidden/>
          </w:rPr>
          <w:fldChar w:fldCharType="begin"/>
        </w:r>
        <w:r>
          <w:rPr>
            <w:noProof/>
            <w:webHidden/>
          </w:rPr>
          <w:instrText xml:space="preserve"> PAGEREF _Toc220490797 \h </w:instrText>
        </w:r>
        <w:r>
          <w:rPr>
            <w:noProof/>
            <w:webHidden/>
          </w:rPr>
        </w:r>
        <w:r>
          <w:rPr>
            <w:noProof/>
            <w:webHidden/>
          </w:rPr>
          <w:fldChar w:fldCharType="separate"/>
        </w:r>
        <w:r>
          <w:rPr>
            <w:noProof/>
            <w:webHidden/>
          </w:rPr>
          <w:t>10</w:t>
        </w:r>
        <w:r>
          <w:rPr>
            <w:noProof/>
            <w:webHidden/>
          </w:rPr>
          <w:fldChar w:fldCharType="end"/>
        </w:r>
      </w:hyperlink>
    </w:p>
    <w:p w14:paraId="530A55C1" w14:textId="077B0B25"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98" w:history="1">
        <w:r w:rsidRPr="00846AC3">
          <w:rPr>
            <w:rStyle w:val="Lienhypertexte"/>
            <w:noProof/>
          </w:rPr>
          <w:t>8.1</w:t>
        </w:r>
        <w:r>
          <w:rPr>
            <w:rFonts w:eastAsiaTheme="minorEastAsia" w:cstheme="minorBidi"/>
            <w:smallCaps w:val="0"/>
            <w:noProof/>
            <w:kern w:val="2"/>
            <w:sz w:val="24"/>
            <w:szCs w:val="24"/>
            <w14:ligatures w14:val="standardContextual"/>
          </w:rPr>
          <w:tab/>
        </w:r>
        <w:r w:rsidRPr="00846AC3">
          <w:rPr>
            <w:rStyle w:val="Lienhypertexte"/>
            <w:noProof/>
          </w:rPr>
          <w:t>Monnaie</w:t>
        </w:r>
        <w:r>
          <w:rPr>
            <w:noProof/>
            <w:webHidden/>
          </w:rPr>
          <w:tab/>
        </w:r>
        <w:r>
          <w:rPr>
            <w:noProof/>
            <w:webHidden/>
          </w:rPr>
          <w:fldChar w:fldCharType="begin"/>
        </w:r>
        <w:r>
          <w:rPr>
            <w:noProof/>
            <w:webHidden/>
          </w:rPr>
          <w:instrText xml:space="preserve"> PAGEREF _Toc220490798 \h </w:instrText>
        </w:r>
        <w:r>
          <w:rPr>
            <w:noProof/>
            <w:webHidden/>
          </w:rPr>
        </w:r>
        <w:r>
          <w:rPr>
            <w:noProof/>
            <w:webHidden/>
          </w:rPr>
          <w:fldChar w:fldCharType="separate"/>
        </w:r>
        <w:r>
          <w:rPr>
            <w:noProof/>
            <w:webHidden/>
          </w:rPr>
          <w:t>10</w:t>
        </w:r>
        <w:r>
          <w:rPr>
            <w:noProof/>
            <w:webHidden/>
          </w:rPr>
          <w:fldChar w:fldCharType="end"/>
        </w:r>
      </w:hyperlink>
    </w:p>
    <w:p w14:paraId="4E889F89" w14:textId="1400F80D"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799" w:history="1">
        <w:r w:rsidRPr="00846AC3">
          <w:rPr>
            <w:rStyle w:val="Lienhypertexte"/>
            <w:noProof/>
          </w:rPr>
          <w:t>8.2</w:t>
        </w:r>
        <w:r>
          <w:rPr>
            <w:rFonts w:eastAsiaTheme="minorEastAsia" w:cstheme="minorBidi"/>
            <w:smallCaps w:val="0"/>
            <w:noProof/>
            <w:kern w:val="2"/>
            <w:sz w:val="24"/>
            <w:szCs w:val="24"/>
            <w14:ligatures w14:val="standardContextual"/>
          </w:rPr>
          <w:tab/>
        </w:r>
        <w:r w:rsidRPr="00846AC3">
          <w:rPr>
            <w:rStyle w:val="Lienhypertexte"/>
            <w:noProof/>
          </w:rPr>
          <w:t>Forme des prix</w:t>
        </w:r>
        <w:r>
          <w:rPr>
            <w:noProof/>
            <w:webHidden/>
          </w:rPr>
          <w:tab/>
        </w:r>
        <w:r>
          <w:rPr>
            <w:noProof/>
            <w:webHidden/>
          </w:rPr>
          <w:fldChar w:fldCharType="begin"/>
        </w:r>
        <w:r>
          <w:rPr>
            <w:noProof/>
            <w:webHidden/>
          </w:rPr>
          <w:instrText xml:space="preserve"> PAGEREF _Toc220490799 \h </w:instrText>
        </w:r>
        <w:r>
          <w:rPr>
            <w:noProof/>
            <w:webHidden/>
          </w:rPr>
        </w:r>
        <w:r>
          <w:rPr>
            <w:noProof/>
            <w:webHidden/>
          </w:rPr>
          <w:fldChar w:fldCharType="separate"/>
        </w:r>
        <w:r>
          <w:rPr>
            <w:noProof/>
            <w:webHidden/>
          </w:rPr>
          <w:t>10</w:t>
        </w:r>
        <w:r>
          <w:rPr>
            <w:noProof/>
            <w:webHidden/>
          </w:rPr>
          <w:fldChar w:fldCharType="end"/>
        </w:r>
      </w:hyperlink>
    </w:p>
    <w:p w14:paraId="6A5D1D1D" w14:textId="122D01F3"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800" w:history="1">
        <w:r w:rsidRPr="00846AC3">
          <w:rPr>
            <w:rStyle w:val="Lienhypertexte"/>
            <w:noProof/>
          </w:rPr>
          <w:t>8.3</w:t>
        </w:r>
        <w:r>
          <w:rPr>
            <w:rFonts w:eastAsiaTheme="minorEastAsia" w:cstheme="minorBidi"/>
            <w:smallCaps w:val="0"/>
            <w:noProof/>
            <w:kern w:val="2"/>
            <w:sz w:val="24"/>
            <w:szCs w:val="24"/>
            <w14:ligatures w14:val="standardContextual"/>
          </w:rPr>
          <w:tab/>
        </w:r>
        <w:r w:rsidRPr="00846AC3">
          <w:rPr>
            <w:rStyle w:val="Lienhypertexte"/>
            <w:noProof/>
          </w:rPr>
          <w:t>Contenu des prix</w:t>
        </w:r>
        <w:r>
          <w:rPr>
            <w:noProof/>
            <w:webHidden/>
          </w:rPr>
          <w:tab/>
        </w:r>
        <w:r>
          <w:rPr>
            <w:noProof/>
            <w:webHidden/>
          </w:rPr>
          <w:fldChar w:fldCharType="begin"/>
        </w:r>
        <w:r>
          <w:rPr>
            <w:noProof/>
            <w:webHidden/>
          </w:rPr>
          <w:instrText xml:space="preserve"> PAGEREF _Toc220490800 \h </w:instrText>
        </w:r>
        <w:r>
          <w:rPr>
            <w:noProof/>
            <w:webHidden/>
          </w:rPr>
        </w:r>
        <w:r>
          <w:rPr>
            <w:noProof/>
            <w:webHidden/>
          </w:rPr>
          <w:fldChar w:fldCharType="separate"/>
        </w:r>
        <w:r>
          <w:rPr>
            <w:noProof/>
            <w:webHidden/>
          </w:rPr>
          <w:t>10</w:t>
        </w:r>
        <w:r>
          <w:rPr>
            <w:noProof/>
            <w:webHidden/>
          </w:rPr>
          <w:fldChar w:fldCharType="end"/>
        </w:r>
      </w:hyperlink>
    </w:p>
    <w:p w14:paraId="1132D348" w14:textId="056D63C3"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801" w:history="1">
        <w:r w:rsidRPr="00846AC3">
          <w:rPr>
            <w:rStyle w:val="Lienhypertexte"/>
            <w:noProof/>
          </w:rPr>
          <w:t>8.4</w:t>
        </w:r>
        <w:r>
          <w:rPr>
            <w:rFonts w:eastAsiaTheme="minorEastAsia" w:cstheme="minorBidi"/>
            <w:smallCaps w:val="0"/>
            <w:noProof/>
            <w:kern w:val="2"/>
            <w:sz w:val="24"/>
            <w:szCs w:val="24"/>
            <w14:ligatures w14:val="standardContextual"/>
          </w:rPr>
          <w:tab/>
        </w:r>
        <w:r w:rsidRPr="00846AC3">
          <w:rPr>
            <w:rStyle w:val="Lienhypertexte"/>
            <w:noProof/>
          </w:rPr>
          <w:t>Révision des prix : Offre de prix promotionnels</w:t>
        </w:r>
        <w:r>
          <w:rPr>
            <w:noProof/>
            <w:webHidden/>
          </w:rPr>
          <w:tab/>
        </w:r>
        <w:r>
          <w:rPr>
            <w:noProof/>
            <w:webHidden/>
          </w:rPr>
          <w:fldChar w:fldCharType="begin"/>
        </w:r>
        <w:r>
          <w:rPr>
            <w:noProof/>
            <w:webHidden/>
          </w:rPr>
          <w:instrText xml:space="preserve"> PAGEREF _Toc220490801 \h </w:instrText>
        </w:r>
        <w:r>
          <w:rPr>
            <w:noProof/>
            <w:webHidden/>
          </w:rPr>
        </w:r>
        <w:r>
          <w:rPr>
            <w:noProof/>
            <w:webHidden/>
          </w:rPr>
          <w:fldChar w:fldCharType="separate"/>
        </w:r>
        <w:r>
          <w:rPr>
            <w:noProof/>
            <w:webHidden/>
          </w:rPr>
          <w:t>10</w:t>
        </w:r>
        <w:r>
          <w:rPr>
            <w:noProof/>
            <w:webHidden/>
          </w:rPr>
          <w:fldChar w:fldCharType="end"/>
        </w:r>
      </w:hyperlink>
    </w:p>
    <w:p w14:paraId="65E01A4A" w14:textId="14528C3B" w:rsidR="004F67DE" w:rsidRDefault="004F67DE">
      <w:pPr>
        <w:pStyle w:val="TM1"/>
        <w:rPr>
          <w:rFonts w:eastAsiaTheme="minorEastAsia" w:cstheme="minorBidi"/>
          <w:b w:val="0"/>
          <w:bCs w:val="0"/>
          <w:caps w:val="0"/>
          <w:noProof/>
          <w:kern w:val="2"/>
          <w:sz w:val="24"/>
          <w:szCs w:val="24"/>
          <w14:ligatures w14:val="standardContextual"/>
        </w:rPr>
      </w:pPr>
      <w:hyperlink w:anchor="_Toc220490802" w:history="1">
        <w:r w:rsidRPr="00846AC3">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846AC3">
          <w:rPr>
            <w:rStyle w:val="Lienhypertexte"/>
            <w:noProof/>
          </w:rPr>
          <w:t>MODALITES DE PAIEMENT</w:t>
        </w:r>
        <w:r>
          <w:rPr>
            <w:noProof/>
            <w:webHidden/>
          </w:rPr>
          <w:tab/>
        </w:r>
        <w:r>
          <w:rPr>
            <w:noProof/>
            <w:webHidden/>
          </w:rPr>
          <w:fldChar w:fldCharType="begin"/>
        </w:r>
        <w:r>
          <w:rPr>
            <w:noProof/>
            <w:webHidden/>
          </w:rPr>
          <w:instrText xml:space="preserve"> PAGEREF _Toc220490802 \h </w:instrText>
        </w:r>
        <w:r>
          <w:rPr>
            <w:noProof/>
            <w:webHidden/>
          </w:rPr>
        </w:r>
        <w:r>
          <w:rPr>
            <w:noProof/>
            <w:webHidden/>
          </w:rPr>
          <w:fldChar w:fldCharType="separate"/>
        </w:r>
        <w:r>
          <w:rPr>
            <w:noProof/>
            <w:webHidden/>
          </w:rPr>
          <w:t>10</w:t>
        </w:r>
        <w:r>
          <w:rPr>
            <w:noProof/>
            <w:webHidden/>
          </w:rPr>
          <w:fldChar w:fldCharType="end"/>
        </w:r>
      </w:hyperlink>
    </w:p>
    <w:p w14:paraId="615D7E5E" w14:textId="7F37A3FA"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803" w:history="1">
        <w:r w:rsidRPr="00846AC3">
          <w:rPr>
            <w:rStyle w:val="Lienhypertexte"/>
            <w:noProof/>
          </w:rPr>
          <w:t>9.1</w:t>
        </w:r>
        <w:r>
          <w:rPr>
            <w:rFonts w:eastAsiaTheme="minorEastAsia" w:cstheme="minorBidi"/>
            <w:smallCaps w:val="0"/>
            <w:noProof/>
            <w:kern w:val="2"/>
            <w:sz w:val="24"/>
            <w:szCs w:val="24"/>
            <w14:ligatures w14:val="standardContextual"/>
          </w:rPr>
          <w:tab/>
        </w:r>
        <w:r w:rsidRPr="00846AC3">
          <w:rPr>
            <w:rStyle w:val="Lienhypertexte"/>
            <w:noProof/>
          </w:rPr>
          <w:t>Avances</w:t>
        </w:r>
        <w:r>
          <w:rPr>
            <w:noProof/>
            <w:webHidden/>
          </w:rPr>
          <w:tab/>
        </w:r>
        <w:r>
          <w:rPr>
            <w:noProof/>
            <w:webHidden/>
          </w:rPr>
          <w:fldChar w:fldCharType="begin"/>
        </w:r>
        <w:r>
          <w:rPr>
            <w:noProof/>
            <w:webHidden/>
          </w:rPr>
          <w:instrText xml:space="preserve"> PAGEREF _Toc220490803 \h </w:instrText>
        </w:r>
        <w:r>
          <w:rPr>
            <w:noProof/>
            <w:webHidden/>
          </w:rPr>
        </w:r>
        <w:r>
          <w:rPr>
            <w:noProof/>
            <w:webHidden/>
          </w:rPr>
          <w:fldChar w:fldCharType="separate"/>
        </w:r>
        <w:r>
          <w:rPr>
            <w:noProof/>
            <w:webHidden/>
          </w:rPr>
          <w:t>10</w:t>
        </w:r>
        <w:r>
          <w:rPr>
            <w:noProof/>
            <w:webHidden/>
          </w:rPr>
          <w:fldChar w:fldCharType="end"/>
        </w:r>
      </w:hyperlink>
    </w:p>
    <w:p w14:paraId="5AC5D528" w14:textId="0B7DA03D"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804" w:history="1">
        <w:r w:rsidRPr="00846AC3">
          <w:rPr>
            <w:rStyle w:val="Lienhypertexte"/>
            <w:noProof/>
          </w:rPr>
          <w:t>9.2</w:t>
        </w:r>
        <w:r>
          <w:rPr>
            <w:rFonts w:eastAsiaTheme="minorEastAsia" w:cstheme="minorBidi"/>
            <w:smallCaps w:val="0"/>
            <w:noProof/>
            <w:kern w:val="2"/>
            <w:sz w:val="24"/>
            <w:szCs w:val="24"/>
            <w14:ligatures w14:val="standardContextual"/>
          </w:rPr>
          <w:tab/>
        </w:r>
        <w:r w:rsidRPr="00846AC3">
          <w:rPr>
            <w:rStyle w:val="Lienhypertexte"/>
            <w:noProof/>
          </w:rPr>
          <w:t>Acomptes</w:t>
        </w:r>
        <w:r>
          <w:rPr>
            <w:noProof/>
            <w:webHidden/>
          </w:rPr>
          <w:tab/>
        </w:r>
        <w:r>
          <w:rPr>
            <w:noProof/>
            <w:webHidden/>
          </w:rPr>
          <w:fldChar w:fldCharType="begin"/>
        </w:r>
        <w:r>
          <w:rPr>
            <w:noProof/>
            <w:webHidden/>
          </w:rPr>
          <w:instrText xml:space="preserve"> PAGEREF _Toc220490804 \h </w:instrText>
        </w:r>
        <w:r>
          <w:rPr>
            <w:noProof/>
            <w:webHidden/>
          </w:rPr>
        </w:r>
        <w:r>
          <w:rPr>
            <w:noProof/>
            <w:webHidden/>
          </w:rPr>
          <w:fldChar w:fldCharType="separate"/>
        </w:r>
        <w:r>
          <w:rPr>
            <w:noProof/>
            <w:webHidden/>
          </w:rPr>
          <w:t>10</w:t>
        </w:r>
        <w:r>
          <w:rPr>
            <w:noProof/>
            <w:webHidden/>
          </w:rPr>
          <w:fldChar w:fldCharType="end"/>
        </w:r>
      </w:hyperlink>
    </w:p>
    <w:p w14:paraId="728F46C8" w14:textId="579DF8E8"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805" w:history="1">
        <w:r w:rsidRPr="00846AC3">
          <w:rPr>
            <w:rStyle w:val="Lienhypertexte"/>
            <w:noProof/>
          </w:rPr>
          <w:t>9.3</w:t>
        </w:r>
        <w:r>
          <w:rPr>
            <w:rFonts w:eastAsiaTheme="minorEastAsia" w:cstheme="minorBidi"/>
            <w:smallCaps w:val="0"/>
            <w:noProof/>
            <w:kern w:val="2"/>
            <w:sz w:val="24"/>
            <w:szCs w:val="24"/>
            <w14:ligatures w14:val="standardContextual"/>
          </w:rPr>
          <w:tab/>
        </w:r>
        <w:r w:rsidRPr="00846AC3">
          <w:rPr>
            <w:rStyle w:val="Lienhypertexte"/>
            <w:noProof/>
          </w:rPr>
          <w:t>Transmission des demandes de paiement</w:t>
        </w:r>
        <w:r>
          <w:rPr>
            <w:noProof/>
            <w:webHidden/>
          </w:rPr>
          <w:tab/>
        </w:r>
        <w:r>
          <w:rPr>
            <w:noProof/>
            <w:webHidden/>
          </w:rPr>
          <w:fldChar w:fldCharType="begin"/>
        </w:r>
        <w:r>
          <w:rPr>
            <w:noProof/>
            <w:webHidden/>
          </w:rPr>
          <w:instrText xml:space="preserve"> PAGEREF _Toc220490805 \h </w:instrText>
        </w:r>
        <w:r>
          <w:rPr>
            <w:noProof/>
            <w:webHidden/>
          </w:rPr>
        </w:r>
        <w:r>
          <w:rPr>
            <w:noProof/>
            <w:webHidden/>
          </w:rPr>
          <w:fldChar w:fldCharType="separate"/>
        </w:r>
        <w:r>
          <w:rPr>
            <w:noProof/>
            <w:webHidden/>
          </w:rPr>
          <w:t>10</w:t>
        </w:r>
        <w:r>
          <w:rPr>
            <w:noProof/>
            <w:webHidden/>
          </w:rPr>
          <w:fldChar w:fldCharType="end"/>
        </w:r>
      </w:hyperlink>
    </w:p>
    <w:p w14:paraId="7D9B4C08" w14:textId="03612D5D"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806" w:history="1">
        <w:r w:rsidRPr="00846AC3">
          <w:rPr>
            <w:rStyle w:val="Lienhypertexte"/>
            <w:noProof/>
          </w:rPr>
          <w:t>9.4</w:t>
        </w:r>
        <w:r>
          <w:rPr>
            <w:rFonts w:eastAsiaTheme="minorEastAsia" w:cstheme="minorBidi"/>
            <w:smallCaps w:val="0"/>
            <w:noProof/>
            <w:kern w:val="2"/>
            <w:sz w:val="24"/>
            <w:szCs w:val="24"/>
            <w14:ligatures w14:val="standardContextual"/>
          </w:rPr>
          <w:tab/>
        </w:r>
        <w:r w:rsidRPr="00846AC3">
          <w:rPr>
            <w:rStyle w:val="Lienhypertexte"/>
            <w:noProof/>
          </w:rPr>
          <w:t>Contenu des demandes de paiement</w:t>
        </w:r>
        <w:r>
          <w:rPr>
            <w:noProof/>
            <w:webHidden/>
          </w:rPr>
          <w:tab/>
        </w:r>
        <w:r>
          <w:rPr>
            <w:noProof/>
            <w:webHidden/>
          </w:rPr>
          <w:fldChar w:fldCharType="begin"/>
        </w:r>
        <w:r>
          <w:rPr>
            <w:noProof/>
            <w:webHidden/>
          </w:rPr>
          <w:instrText xml:space="preserve"> PAGEREF _Toc220490806 \h </w:instrText>
        </w:r>
        <w:r>
          <w:rPr>
            <w:noProof/>
            <w:webHidden/>
          </w:rPr>
        </w:r>
        <w:r>
          <w:rPr>
            <w:noProof/>
            <w:webHidden/>
          </w:rPr>
          <w:fldChar w:fldCharType="separate"/>
        </w:r>
        <w:r>
          <w:rPr>
            <w:noProof/>
            <w:webHidden/>
          </w:rPr>
          <w:t>11</w:t>
        </w:r>
        <w:r>
          <w:rPr>
            <w:noProof/>
            <w:webHidden/>
          </w:rPr>
          <w:fldChar w:fldCharType="end"/>
        </w:r>
      </w:hyperlink>
    </w:p>
    <w:p w14:paraId="49C0C5F8" w14:textId="6127E040" w:rsidR="004F67DE" w:rsidRDefault="004F67D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0490807" w:history="1">
        <w:r w:rsidRPr="00846AC3">
          <w:rPr>
            <w:rStyle w:val="Lienhypertexte"/>
            <w:noProof/>
          </w:rPr>
          <w:t>9.5</w:t>
        </w:r>
        <w:r>
          <w:rPr>
            <w:rFonts w:eastAsiaTheme="minorEastAsia" w:cstheme="minorBidi"/>
            <w:smallCaps w:val="0"/>
            <w:noProof/>
            <w:kern w:val="2"/>
            <w:sz w:val="24"/>
            <w:szCs w:val="24"/>
            <w14:ligatures w14:val="standardContextual"/>
          </w:rPr>
          <w:tab/>
        </w:r>
        <w:r w:rsidRPr="00846AC3">
          <w:rPr>
            <w:rStyle w:val="Lienhypertexte"/>
            <w:noProof/>
          </w:rPr>
          <w:t>Paiement et retard de paiement</w:t>
        </w:r>
        <w:r>
          <w:rPr>
            <w:noProof/>
            <w:webHidden/>
          </w:rPr>
          <w:tab/>
        </w:r>
        <w:r>
          <w:rPr>
            <w:noProof/>
            <w:webHidden/>
          </w:rPr>
          <w:fldChar w:fldCharType="begin"/>
        </w:r>
        <w:r>
          <w:rPr>
            <w:noProof/>
            <w:webHidden/>
          </w:rPr>
          <w:instrText xml:space="preserve"> PAGEREF _Toc220490807 \h </w:instrText>
        </w:r>
        <w:r>
          <w:rPr>
            <w:noProof/>
            <w:webHidden/>
          </w:rPr>
        </w:r>
        <w:r>
          <w:rPr>
            <w:noProof/>
            <w:webHidden/>
          </w:rPr>
          <w:fldChar w:fldCharType="separate"/>
        </w:r>
        <w:r>
          <w:rPr>
            <w:noProof/>
            <w:webHidden/>
          </w:rPr>
          <w:t>11</w:t>
        </w:r>
        <w:r>
          <w:rPr>
            <w:noProof/>
            <w:webHidden/>
          </w:rPr>
          <w:fldChar w:fldCharType="end"/>
        </w:r>
      </w:hyperlink>
    </w:p>
    <w:p w14:paraId="037786B3" w14:textId="22CB4D14" w:rsidR="004F67DE" w:rsidRDefault="004F67DE">
      <w:pPr>
        <w:pStyle w:val="TM1"/>
        <w:rPr>
          <w:rFonts w:eastAsiaTheme="minorEastAsia" w:cstheme="minorBidi"/>
          <w:b w:val="0"/>
          <w:bCs w:val="0"/>
          <w:caps w:val="0"/>
          <w:noProof/>
          <w:kern w:val="2"/>
          <w:sz w:val="24"/>
          <w:szCs w:val="24"/>
          <w14:ligatures w14:val="standardContextual"/>
        </w:rPr>
      </w:pPr>
      <w:hyperlink w:anchor="_Toc220490808" w:history="1">
        <w:r w:rsidRPr="00846AC3">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846AC3">
          <w:rPr>
            <w:rStyle w:val="Lienhypertexte"/>
            <w:noProof/>
          </w:rPr>
          <w:t>PENALITES</w:t>
        </w:r>
        <w:r>
          <w:rPr>
            <w:noProof/>
            <w:webHidden/>
          </w:rPr>
          <w:tab/>
        </w:r>
        <w:r>
          <w:rPr>
            <w:noProof/>
            <w:webHidden/>
          </w:rPr>
          <w:fldChar w:fldCharType="begin"/>
        </w:r>
        <w:r>
          <w:rPr>
            <w:noProof/>
            <w:webHidden/>
          </w:rPr>
          <w:instrText xml:space="preserve"> PAGEREF _Toc220490808 \h </w:instrText>
        </w:r>
        <w:r>
          <w:rPr>
            <w:noProof/>
            <w:webHidden/>
          </w:rPr>
        </w:r>
        <w:r>
          <w:rPr>
            <w:noProof/>
            <w:webHidden/>
          </w:rPr>
          <w:fldChar w:fldCharType="separate"/>
        </w:r>
        <w:r>
          <w:rPr>
            <w:noProof/>
            <w:webHidden/>
          </w:rPr>
          <w:t>11</w:t>
        </w:r>
        <w:r>
          <w:rPr>
            <w:noProof/>
            <w:webHidden/>
          </w:rPr>
          <w:fldChar w:fldCharType="end"/>
        </w:r>
      </w:hyperlink>
    </w:p>
    <w:p w14:paraId="1B773F12" w14:textId="2179616C"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09" w:history="1">
        <w:r w:rsidRPr="00846AC3">
          <w:rPr>
            <w:rStyle w:val="Lienhypertexte"/>
            <w:noProof/>
          </w:rPr>
          <w:t>10.1</w:t>
        </w:r>
        <w:r>
          <w:rPr>
            <w:rFonts w:eastAsiaTheme="minorEastAsia" w:cstheme="minorBidi"/>
            <w:smallCaps w:val="0"/>
            <w:noProof/>
            <w:kern w:val="2"/>
            <w:sz w:val="24"/>
            <w:szCs w:val="24"/>
            <w14:ligatures w14:val="standardContextual"/>
          </w:rPr>
          <w:tab/>
        </w:r>
        <w:r w:rsidRPr="00846AC3">
          <w:rPr>
            <w:rStyle w:val="Lienhypertexte"/>
            <w:noProof/>
          </w:rPr>
          <w:t>Pénalités de retard</w:t>
        </w:r>
        <w:r>
          <w:rPr>
            <w:noProof/>
            <w:webHidden/>
          </w:rPr>
          <w:tab/>
        </w:r>
        <w:r>
          <w:rPr>
            <w:noProof/>
            <w:webHidden/>
          </w:rPr>
          <w:fldChar w:fldCharType="begin"/>
        </w:r>
        <w:r>
          <w:rPr>
            <w:noProof/>
            <w:webHidden/>
          </w:rPr>
          <w:instrText xml:space="preserve"> PAGEREF _Toc220490809 \h </w:instrText>
        </w:r>
        <w:r>
          <w:rPr>
            <w:noProof/>
            <w:webHidden/>
          </w:rPr>
        </w:r>
        <w:r>
          <w:rPr>
            <w:noProof/>
            <w:webHidden/>
          </w:rPr>
          <w:fldChar w:fldCharType="separate"/>
        </w:r>
        <w:r>
          <w:rPr>
            <w:noProof/>
            <w:webHidden/>
          </w:rPr>
          <w:t>11</w:t>
        </w:r>
        <w:r>
          <w:rPr>
            <w:noProof/>
            <w:webHidden/>
          </w:rPr>
          <w:fldChar w:fldCharType="end"/>
        </w:r>
      </w:hyperlink>
    </w:p>
    <w:p w14:paraId="48BB584D" w14:textId="02C8D309"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10" w:history="1">
        <w:r w:rsidRPr="00846AC3">
          <w:rPr>
            <w:rStyle w:val="Lienhypertexte"/>
            <w:noProof/>
          </w:rPr>
          <w:t>10.2</w:t>
        </w:r>
        <w:r>
          <w:rPr>
            <w:rFonts w:eastAsiaTheme="minorEastAsia" w:cstheme="minorBidi"/>
            <w:smallCaps w:val="0"/>
            <w:noProof/>
            <w:kern w:val="2"/>
            <w:sz w:val="24"/>
            <w:szCs w:val="24"/>
            <w14:ligatures w14:val="standardContextual"/>
          </w:rPr>
          <w:tab/>
        </w:r>
        <w:r w:rsidRPr="00846AC3">
          <w:rPr>
            <w:rStyle w:val="Lienhypertexte"/>
            <w:noProof/>
          </w:rPr>
          <w:t>Pénalités pour non-respect de l’équipe dédiée</w:t>
        </w:r>
        <w:r>
          <w:rPr>
            <w:noProof/>
            <w:webHidden/>
          </w:rPr>
          <w:tab/>
        </w:r>
        <w:r>
          <w:rPr>
            <w:noProof/>
            <w:webHidden/>
          </w:rPr>
          <w:fldChar w:fldCharType="begin"/>
        </w:r>
        <w:r>
          <w:rPr>
            <w:noProof/>
            <w:webHidden/>
          </w:rPr>
          <w:instrText xml:space="preserve"> PAGEREF _Toc220490810 \h </w:instrText>
        </w:r>
        <w:r>
          <w:rPr>
            <w:noProof/>
            <w:webHidden/>
          </w:rPr>
        </w:r>
        <w:r>
          <w:rPr>
            <w:noProof/>
            <w:webHidden/>
          </w:rPr>
          <w:fldChar w:fldCharType="separate"/>
        </w:r>
        <w:r>
          <w:rPr>
            <w:noProof/>
            <w:webHidden/>
          </w:rPr>
          <w:t>12</w:t>
        </w:r>
        <w:r>
          <w:rPr>
            <w:noProof/>
            <w:webHidden/>
          </w:rPr>
          <w:fldChar w:fldCharType="end"/>
        </w:r>
      </w:hyperlink>
    </w:p>
    <w:p w14:paraId="563755BE" w14:textId="62DFD652"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11" w:history="1">
        <w:r w:rsidRPr="00846AC3">
          <w:rPr>
            <w:rStyle w:val="Lienhypertexte"/>
            <w:noProof/>
          </w:rPr>
          <w:t>10.3</w:t>
        </w:r>
        <w:r>
          <w:rPr>
            <w:rFonts w:eastAsiaTheme="minorEastAsia" w:cstheme="minorBidi"/>
            <w:smallCaps w:val="0"/>
            <w:noProof/>
            <w:kern w:val="2"/>
            <w:sz w:val="24"/>
            <w:szCs w:val="24"/>
            <w14:ligatures w14:val="standardContextual"/>
          </w:rPr>
          <w:tab/>
        </w:r>
        <w:r w:rsidRPr="00846AC3">
          <w:rPr>
            <w:rStyle w:val="Lienhypertexte"/>
            <w:noProof/>
          </w:rPr>
          <w:t>Pénalités pour non-respect de la clause « diversité et égalité »</w:t>
        </w:r>
        <w:r>
          <w:rPr>
            <w:noProof/>
            <w:webHidden/>
          </w:rPr>
          <w:tab/>
        </w:r>
        <w:r>
          <w:rPr>
            <w:noProof/>
            <w:webHidden/>
          </w:rPr>
          <w:fldChar w:fldCharType="begin"/>
        </w:r>
        <w:r>
          <w:rPr>
            <w:noProof/>
            <w:webHidden/>
          </w:rPr>
          <w:instrText xml:space="preserve"> PAGEREF _Toc220490811 \h </w:instrText>
        </w:r>
        <w:r>
          <w:rPr>
            <w:noProof/>
            <w:webHidden/>
          </w:rPr>
        </w:r>
        <w:r>
          <w:rPr>
            <w:noProof/>
            <w:webHidden/>
          </w:rPr>
          <w:fldChar w:fldCharType="separate"/>
        </w:r>
        <w:r>
          <w:rPr>
            <w:noProof/>
            <w:webHidden/>
          </w:rPr>
          <w:t>12</w:t>
        </w:r>
        <w:r>
          <w:rPr>
            <w:noProof/>
            <w:webHidden/>
          </w:rPr>
          <w:fldChar w:fldCharType="end"/>
        </w:r>
      </w:hyperlink>
    </w:p>
    <w:p w14:paraId="23E136B6" w14:textId="3F62FF0D"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12" w:history="1">
        <w:r w:rsidRPr="00846AC3">
          <w:rPr>
            <w:rStyle w:val="Lienhypertexte"/>
            <w:noProof/>
          </w:rPr>
          <w:t>10.4</w:t>
        </w:r>
        <w:r>
          <w:rPr>
            <w:rFonts w:eastAsiaTheme="minorEastAsia" w:cstheme="minorBidi"/>
            <w:smallCaps w:val="0"/>
            <w:noProof/>
            <w:kern w:val="2"/>
            <w:sz w:val="24"/>
            <w:szCs w:val="24"/>
            <w14:ligatures w14:val="standardContextual"/>
          </w:rPr>
          <w:tab/>
        </w:r>
        <w:r w:rsidRPr="00846AC3">
          <w:rPr>
            <w:rStyle w:val="Lienhypertexte"/>
            <w:noProof/>
          </w:rPr>
          <w:t>Pénalités en cas de retard dans la communication du BEGES</w:t>
        </w:r>
        <w:r>
          <w:rPr>
            <w:noProof/>
            <w:webHidden/>
          </w:rPr>
          <w:tab/>
        </w:r>
        <w:r>
          <w:rPr>
            <w:noProof/>
            <w:webHidden/>
          </w:rPr>
          <w:fldChar w:fldCharType="begin"/>
        </w:r>
        <w:r>
          <w:rPr>
            <w:noProof/>
            <w:webHidden/>
          </w:rPr>
          <w:instrText xml:space="preserve"> PAGEREF _Toc220490812 \h </w:instrText>
        </w:r>
        <w:r>
          <w:rPr>
            <w:noProof/>
            <w:webHidden/>
          </w:rPr>
        </w:r>
        <w:r>
          <w:rPr>
            <w:noProof/>
            <w:webHidden/>
          </w:rPr>
          <w:fldChar w:fldCharType="separate"/>
        </w:r>
        <w:r>
          <w:rPr>
            <w:noProof/>
            <w:webHidden/>
          </w:rPr>
          <w:t>12</w:t>
        </w:r>
        <w:r>
          <w:rPr>
            <w:noProof/>
            <w:webHidden/>
          </w:rPr>
          <w:fldChar w:fldCharType="end"/>
        </w:r>
      </w:hyperlink>
    </w:p>
    <w:p w14:paraId="11FCB20C" w14:textId="3DEFF72D" w:rsidR="004F67DE" w:rsidRDefault="004F67DE">
      <w:pPr>
        <w:pStyle w:val="TM1"/>
        <w:rPr>
          <w:rFonts w:eastAsiaTheme="minorEastAsia" w:cstheme="minorBidi"/>
          <w:b w:val="0"/>
          <w:bCs w:val="0"/>
          <w:caps w:val="0"/>
          <w:noProof/>
          <w:kern w:val="2"/>
          <w:sz w:val="24"/>
          <w:szCs w:val="24"/>
          <w14:ligatures w14:val="standardContextual"/>
        </w:rPr>
      </w:pPr>
      <w:hyperlink w:anchor="_Toc220490813" w:history="1">
        <w:r w:rsidRPr="00846AC3">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846AC3">
          <w:rPr>
            <w:rStyle w:val="Lienhypertexte"/>
            <w:noProof/>
          </w:rPr>
          <w:t>CESSION ET NANTISSEMENT</w:t>
        </w:r>
        <w:r>
          <w:rPr>
            <w:noProof/>
            <w:webHidden/>
          </w:rPr>
          <w:tab/>
        </w:r>
        <w:r>
          <w:rPr>
            <w:noProof/>
            <w:webHidden/>
          </w:rPr>
          <w:fldChar w:fldCharType="begin"/>
        </w:r>
        <w:r>
          <w:rPr>
            <w:noProof/>
            <w:webHidden/>
          </w:rPr>
          <w:instrText xml:space="preserve"> PAGEREF _Toc220490813 \h </w:instrText>
        </w:r>
        <w:r>
          <w:rPr>
            <w:noProof/>
            <w:webHidden/>
          </w:rPr>
        </w:r>
        <w:r>
          <w:rPr>
            <w:noProof/>
            <w:webHidden/>
          </w:rPr>
          <w:fldChar w:fldCharType="separate"/>
        </w:r>
        <w:r>
          <w:rPr>
            <w:noProof/>
            <w:webHidden/>
          </w:rPr>
          <w:t>12</w:t>
        </w:r>
        <w:r>
          <w:rPr>
            <w:noProof/>
            <w:webHidden/>
          </w:rPr>
          <w:fldChar w:fldCharType="end"/>
        </w:r>
      </w:hyperlink>
    </w:p>
    <w:p w14:paraId="2647263E" w14:textId="6A8F4C40" w:rsidR="004F67DE" w:rsidRDefault="004F67DE">
      <w:pPr>
        <w:pStyle w:val="TM1"/>
        <w:rPr>
          <w:rFonts w:eastAsiaTheme="minorEastAsia" w:cstheme="minorBidi"/>
          <w:b w:val="0"/>
          <w:bCs w:val="0"/>
          <w:caps w:val="0"/>
          <w:noProof/>
          <w:kern w:val="2"/>
          <w:sz w:val="24"/>
          <w:szCs w:val="24"/>
          <w14:ligatures w14:val="standardContextual"/>
        </w:rPr>
      </w:pPr>
      <w:hyperlink w:anchor="_Toc220490814" w:history="1">
        <w:r w:rsidRPr="00846AC3">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846AC3">
          <w:rPr>
            <w:rStyle w:val="Lienhypertexte"/>
            <w:noProof/>
          </w:rPr>
          <w:t>SOUS-TRAITANCE</w:t>
        </w:r>
        <w:r>
          <w:rPr>
            <w:noProof/>
            <w:webHidden/>
          </w:rPr>
          <w:tab/>
        </w:r>
        <w:r>
          <w:rPr>
            <w:noProof/>
            <w:webHidden/>
          </w:rPr>
          <w:fldChar w:fldCharType="begin"/>
        </w:r>
        <w:r>
          <w:rPr>
            <w:noProof/>
            <w:webHidden/>
          </w:rPr>
          <w:instrText xml:space="preserve"> PAGEREF _Toc220490814 \h </w:instrText>
        </w:r>
        <w:r>
          <w:rPr>
            <w:noProof/>
            <w:webHidden/>
          </w:rPr>
        </w:r>
        <w:r>
          <w:rPr>
            <w:noProof/>
            <w:webHidden/>
          </w:rPr>
          <w:fldChar w:fldCharType="separate"/>
        </w:r>
        <w:r>
          <w:rPr>
            <w:noProof/>
            <w:webHidden/>
          </w:rPr>
          <w:t>12</w:t>
        </w:r>
        <w:r>
          <w:rPr>
            <w:noProof/>
            <w:webHidden/>
          </w:rPr>
          <w:fldChar w:fldCharType="end"/>
        </w:r>
      </w:hyperlink>
    </w:p>
    <w:p w14:paraId="1292CEA0" w14:textId="729BA601" w:rsidR="004F67DE" w:rsidRDefault="004F67DE">
      <w:pPr>
        <w:pStyle w:val="TM1"/>
        <w:rPr>
          <w:rFonts w:eastAsiaTheme="minorEastAsia" w:cstheme="minorBidi"/>
          <w:b w:val="0"/>
          <w:bCs w:val="0"/>
          <w:caps w:val="0"/>
          <w:noProof/>
          <w:kern w:val="2"/>
          <w:sz w:val="24"/>
          <w:szCs w:val="24"/>
          <w14:ligatures w14:val="standardContextual"/>
        </w:rPr>
      </w:pPr>
      <w:hyperlink w:anchor="_Toc220490815" w:history="1">
        <w:r w:rsidRPr="00846AC3">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846AC3">
          <w:rPr>
            <w:rStyle w:val="Lienhypertexte"/>
            <w:noProof/>
          </w:rPr>
          <w:t>INTERRUPTION DES PRESTATIONS</w:t>
        </w:r>
        <w:r>
          <w:rPr>
            <w:noProof/>
            <w:webHidden/>
          </w:rPr>
          <w:tab/>
        </w:r>
        <w:r>
          <w:rPr>
            <w:noProof/>
            <w:webHidden/>
          </w:rPr>
          <w:fldChar w:fldCharType="begin"/>
        </w:r>
        <w:r>
          <w:rPr>
            <w:noProof/>
            <w:webHidden/>
          </w:rPr>
          <w:instrText xml:space="preserve"> PAGEREF _Toc220490815 \h </w:instrText>
        </w:r>
        <w:r>
          <w:rPr>
            <w:noProof/>
            <w:webHidden/>
          </w:rPr>
        </w:r>
        <w:r>
          <w:rPr>
            <w:noProof/>
            <w:webHidden/>
          </w:rPr>
          <w:fldChar w:fldCharType="separate"/>
        </w:r>
        <w:r>
          <w:rPr>
            <w:noProof/>
            <w:webHidden/>
          </w:rPr>
          <w:t>12</w:t>
        </w:r>
        <w:r>
          <w:rPr>
            <w:noProof/>
            <w:webHidden/>
          </w:rPr>
          <w:fldChar w:fldCharType="end"/>
        </w:r>
      </w:hyperlink>
    </w:p>
    <w:p w14:paraId="250D8926" w14:textId="218D3938" w:rsidR="004F67DE" w:rsidRDefault="004F67DE">
      <w:pPr>
        <w:pStyle w:val="TM1"/>
        <w:rPr>
          <w:rFonts w:eastAsiaTheme="minorEastAsia" w:cstheme="minorBidi"/>
          <w:b w:val="0"/>
          <w:bCs w:val="0"/>
          <w:caps w:val="0"/>
          <w:noProof/>
          <w:kern w:val="2"/>
          <w:sz w:val="24"/>
          <w:szCs w:val="24"/>
          <w14:ligatures w14:val="standardContextual"/>
        </w:rPr>
      </w:pPr>
      <w:hyperlink w:anchor="_Toc220490816" w:history="1">
        <w:r w:rsidRPr="00846AC3">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846AC3">
          <w:rPr>
            <w:rStyle w:val="Lienhypertexte"/>
            <w:noProof/>
          </w:rPr>
          <w:t>RESILIATION</w:t>
        </w:r>
        <w:r>
          <w:rPr>
            <w:noProof/>
            <w:webHidden/>
          </w:rPr>
          <w:tab/>
        </w:r>
        <w:r>
          <w:rPr>
            <w:noProof/>
            <w:webHidden/>
          </w:rPr>
          <w:fldChar w:fldCharType="begin"/>
        </w:r>
        <w:r>
          <w:rPr>
            <w:noProof/>
            <w:webHidden/>
          </w:rPr>
          <w:instrText xml:space="preserve"> PAGEREF _Toc220490816 \h </w:instrText>
        </w:r>
        <w:r>
          <w:rPr>
            <w:noProof/>
            <w:webHidden/>
          </w:rPr>
        </w:r>
        <w:r>
          <w:rPr>
            <w:noProof/>
            <w:webHidden/>
          </w:rPr>
          <w:fldChar w:fldCharType="separate"/>
        </w:r>
        <w:r>
          <w:rPr>
            <w:noProof/>
            <w:webHidden/>
          </w:rPr>
          <w:t>13</w:t>
        </w:r>
        <w:r>
          <w:rPr>
            <w:noProof/>
            <w:webHidden/>
          </w:rPr>
          <w:fldChar w:fldCharType="end"/>
        </w:r>
      </w:hyperlink>
    </w:p>
    <w:p w14:paraId="1353330D" w14:textId="37F0E689" w:rsidR="004F67DE" w:rsidRDefault="004F67DE">
      <w:pPr>
        <w:pStyle w:val="TM1"/>
        <w:rPr>
          <w:rFonts w:eastAsiaTheme="minorEastAsia" w:cstheme="minorBidi"/>
          <w:b w:val="0"/>
          <w:bCs w:val="0"/>
          <w:caps w:val="0"/>
          <w:noProof/>
          <w:kern w:val="2"/>
          <w:sz w:val="24"/>
          <w:szCs w:val="24"/>
          <w14:ligatures w14:val="standardContextual"/>
        </w:rPr>
      </w:pPr>
      <w:hyperlink w:anchor="_Toc220490817" w:history="1">
        <w:r w:rsidRPr="00846AC3">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846AC3">
          <w:rPr>
            <w:rStyle w:val="Lienhypertexte"/>
            <w:noProof/>
          </w:rPr>
          <w:t>Pièces et attestations à fournir</w:t>
        </w:r>
        <w:r>
          <w:rPr>
            <w:noProof/>
            <w:webHidden/>
          </w:rPr>
          <w:tab/>
        </w:r>
        <w:r>
          <w:rPr>
            <w:noProof/>
            <w:webHidden/>
          </w:rPr>
          <w:fldChar w:fldCharType="begin"/>
        </w:r>
        <w:r>
          <w:rPr>
            <w:noProof/>
            <w:webHidden/>
          </w:rPr>
          <w:instrText xml:space="preserve"> PAGEREF _Toc220490817 \h </w:instrText>
        </w:r>
        <w:r>
          <w:rPr>
            <w:noProof/>
            <w:webHidden/>
          </w:rPr>
        </w:r>
        <w:r>
          <w:rPr>
            <w:noProof/>
            <w:webHidden/>
          </w:rPr>
          <w:fldChar w:fldCharType="separate"/>
        </w:r>
        <w:r>
          <w:rPr>
            <w:noProof/>
            <w:webHidden/>
          </w:rPr>
          <w:t>13</w:t>
        </w:r>
        <w:r>
          <w:rPr>
            <w:noProof/>
            <w:webHidden/>
          </w:rPr>
          <w:fldChar w:fldCharType="end"/>
        </w:r>
      </w:hyperlink>
    </w:p>
    <w:p w14:paraId="79DA2EB2" w14:textId="49F36CF9"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18" w:history="1">
        <w:r w:rsidRPr="00846AC3">
          <w:rPr>
            <w:rStyle w:val="Lienhypertexte"/>
            <w:noProof/>
          </w:rPr>
          <w:t>15.1</w:t>
        </w:r>
        <w:r>
          <w:rPr>
            <w:rFonts w:eastAsiaTheme="minorEastAsia" w:cstheme="minorBidi"/>
            <w:smallCaps w:val="0"/>
            <w:noProof/>
            <w:kern w:val="2"/>
            <w:sz w:val="24"/>
            <w:szCs w:val="24"/>
            <w14:ligatures w14:val="standardContextual"/>
          </w:rPr>
          <w:tab/>
        </w:r>
        <w:r w:rsidRPr="00846AC3">
          <w:rPr>
            <w:rStyle w:val="Lienhypertexte"/>
            <w:noProof/>
          </w:rPr>
          <w:t>Assurance</w:t>
        </w:r>
        <w:r>
          <w:rPr>
            <w:noProof/>
            <w:webHidden/>
          </w:rPr>
          <w:tab/>
        </w:r>
        <w:r>
          <w:rPr>
            <w:noProof/>
            <w:webHidden/>
          </w:rPr>
          <w:fldChar w:fldCharType="begin"/>
        </w:r>
        <w:r>
          <w:rPr>
            <w:noProof/>
            <w:webHidden/>
          </w:rPr>
          <w:instrText xml:space="preserve"> PAGEREF _Toc220490818 \h </w:instrText>
        </w:r>
        <w:r>
          <w:rPr>
            <w:noProof/>
            <w:webHidden/>
          </w:rPr>
        </w:r>
        <w:r>
          <w:rPr>
            <w:noProof/>
            <w:webHidden/>
          </w:rPr>
          <w:fldChar w:fldCharType="separate"/>
        </w:r>
        <w:r>
          <w:rPr>
            <w:noProof/>
            <w:webHidden/>
          </w:rPr>
          <w:t>13</w:t>
        </w:r>
        <w:r>
          <w:rPr>
            <w:noProof/>
            <w:webHidden/>
          </w:rPr>
          <w:fldChar w:fldCharType="end"/>
        </w:r>
      </w:hyperlink>
    </w:p>
    <w:p w14:paraId="423E4C9D" w14:textId="4B494DAF"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19" w:history="1">
        <w:r w:rsidRPr="00846AC3">
          <w:rPr>
            <w:rStyle w:val="Lienhypertexte"/>
            <w:noProof/>
          </w:rPr>
          <w:t>15.2</w:t>
        </w:r>
        <w:r>
          <w:rPr>
            <w:rFonts w:eastAsiaTheme="minorEastAsia" w:cstheme="minorBidi"/>
            <w:smallCaps w:val="0"/>
            <w:noProof/>
            <w:kern w:val="2"/>
            <w:sz w:val="24"/>
            <w:szCs w:val="24"/>
            <w14:ligatures w14:val="standardContextual"/>
          </w:rPr>
          <w:tab/>
        </w:r>
        <w:r w:rsidRPr="00846AC3">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_Toc220490819 \h </w:instrText>
        </w:r>
        <w:r>
          <w:rPr>
            <w:noProof/>
            <w:webHidden/>
          </w:rPr>
        </w:r>
        <w:r>
          <w:rPr>
            <w:noProof/>
            <w:webHidden/>
          </w:rPr>
          <w:fldChar w:fldCharType="separate"/>
        </w:r>
        <w:r>
          <w:rPr>
            <w:noProof/>
            <w:webHidden/>
          </w:rPr>
          <w:t>13</w:t>
        </w:r>
        <w:r>
          <w:rPr>
            <w:noProof/>
            <w:webHidden/>
          </w:rPr>
          <w:fldChar w:fldCharType="end"/>
        </w:r>
      </w:hyperlink>
    </w:p>
    <w:p w14:paraId="6B0DF6E1" w14:textId="72CEECF2"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20" w:history="1">
        <w:r w:rsidRPr="00846AC3">
          <w:rPr>
            <w:rStyle w:val="Lienhypertexte"/>
            <w:noProof/>
          </w:rPr>
          <w:t>15.3</w:t>
        </w:r>
        <w:r>
          <w:rPr>
            <w:rFonts w:eastAsiaTheme="minorEastAsia" w:cstheme="minorBidi"/>
            <w:smallCaps w:val="0"/>
            <w:noProof/>
            <w:kern w:val="2"/>
            <w:sz w:val="24"/>
            <w:szCs w:val="24"/>
            <w14:ligatures w14:val="standardContextual"/>
          </w:rPr>
          <w:tab/>
        </w:r>
        <w:r w:rsidRPr="00846AC3">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_Toc220490820 \h </w:instrText>
        </w:r>
        <w:r>
          <w:rPr>
            <w:noProof/>
            <w:webHidden/>
          </w:rPr>
        </w:r>
        <w:r>
          <w:rPr>
            <w:noProof/>
            <w:webHidden/>
          </w:rPr>
          <w:fldChar w:fldCharType="separate"/>
        </w:r>
        <w:r>
          <w:rPr>
            <w:noProof/>
            <w:webHidden/>
          </w:rPr>
          <w:t>13</w:t>
        </w:r>
        <w:r>
          <w:rPr>
            <w:noProof/>
            <w:webHidden/>
          </w:rPr>
          <w:fldChar w:fldCharType="end"/>
        </w:r>
      </w:hyperlink>
    </w:p>
    <w:p w14:paraId="11C4F965" w14:textId="44C01EE4"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21" w:history="1">
        <w:r w:rsidRPr="00846AC3">
          <w:rPr>
            <w:rStyle w:val="Lienhypertexte"/>
            <w:noProof/>
          </w:rPr>
          <w:t>15.4</w:t>
        </w:r>
        <w:r>
          <w:rPr>
            <w:rFonts w:eastAsiaTheme="minorEastAsia" w:cstheme="minorBidi"/>
            <w:smallCaps w:val="0"/>
            <w:noProof/>
            <w:kern w:val="2"/>
            <w:sz w:val="24"/>
            <w:szCs w:val="24"/>
            <w14:ligatures w14:val="standardContextual"/>
          </w:rPr>
          <w:tab/>
        </w:r>
        <w:r w:rsidRPr="00846AC3">
          <w:rPr>
            <w:rStyle w:val="Lienhypertexte"/>
            <w:noProof/>
          </w:rPr>
          <w:t>Liste nominative du personnel étranger</w:t>
        </w:r>
        <w:r>
          <w:rPr>
            <w:noProof/>
            <w:webHidden/>
          </w:rPr>
          <w:tab/>
        </w:r>
        <w:r>
          <w:rPr>
            <w:noProof/>
            <w:webHidden/>
          </w:rPr>
          <w:fldChar w:fldCharType="begin"/>
        </w:r>
        <w:r>
          <w:rPr>
            <w:noProof/>
            <w:webHidden/>
          </w:rPr>
          <w:instrText xml:space="preserve"> PAGEREF _Toc220490821 \h </w:instrText>
        </w:r>
        <w:r>
          <w:rPr>
            <w:noProof/>
            <w:webHidden/>
          </w:rPr>
        </w:r>
        <w:r>
          <w:rPr>
            <w:noProof/>
            <w:webHidden/>
          </w:rPr>
          <w:fldChar w:fldCharType="separate"/>
        </w:r>
        <w:r>
          <w:rPr>
            <w:noProof/>
            <w:webHidden/>
          </w:rPr>
          <w:t>13</w:t>
        </w:r>
        <w:r>
          <w:rPr>
            <w:noProof/>
            <w:webHidden/>
          </w:rPr>
          <w:fldChar w:fldCharType="end"/>
        </w:r>
      </w:hyperlink>
    </w:p>
    <w:p w14:paraId="4CA061A5" w14:textId="2718A795"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22" w:history="1">
        <w:r w:rsidRPr="00846AC3">
          <w:rPr>
            <w:rStyle w:val="Lienhypertexte"/>
            <w:noProof/>
          </w:rPr>
          <w:t>15.5</w:t>
        </w:r>
        <w:r>
          <w:rPr>
            <w:rFonts w:eastAsiaTheme="minorEastAsia" w:cstheme="minorBidi"/>
            <w:smallCaps w:val="0"/>
            <w:noProof/>
            <w:kern w:val="2"/>
            <w:sz w:val="24"/>
            <w:szCs w:val="24"/>
            <w14:ligatures w14:val="standardContextual"/>
          </w:rPr>
          <w:tab/>
        </w:r>
        <w:r w:rsidRPr="00846AC3">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_Toc220490822 \h </w:instrText>
        </w:r>
        <w:r>
          <w:rPr>
            <w:noProof/>
            <w:webHidden/>
          </w:rPr>
        </w:r>
        <w:r>
          <w:rPr>
            <w:noProof/>
            <w:webHidden/>
          </w:rPr>
          <w:fldChar w:fldCharType="separate"/>
        </w:r>
        <w:r>
          <w:rPr>
            <w:noProof/>
            <w:webHidden/>
          </w:rPr>
          <w:t>13</w:t>
        </w:r>
        <w:r>
          <w:rPr>
            <w:noProof/>
            <w:webHidden/>
          </w:rPr>
          <w:fldChar w:fldCharType="end"/>
        </w:r>
      </w:hyperlink>
    </w:p>
    <w:p w14:paraId="3FCEDB7F" w14:textId="2AFD79EB"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23" w:history="1">
        <w:r w:rsidRPr="00846AC3">
          <w:rPr>
            <w:rStyle w:val="Lienhypertexte"/>
            <w:noProof/>
          </w:rPr>
          <w:t>15.6</w:t>
        </w:r>
        <w:r>
          <w:rPr>
            <w:rFonts w:eastAsiaTheme="minorEastAsia" w:cstheme="minorBidi"/>
            <w:smallCaps w:val="0"/>
            <w:noProof/>
            <w:kern w:val="2"/>
            <w:sz w:val="24"/>
            <w:szCs w:val="24"/>
            <w14:ligatures w14:val="standardContextual"/>
          </w:rPr>
          <w:tab/>
        </w:r>
        <w:r w:rsidRPr="00846AC3">
          <w:rPr>
            <w:rStyle w:val="Lienhypertexte"/>
            <w:noProof/>
          </w:rPr>
          <w:t>Clause « Diversité et Egalite »</w:t>
        </w:r>
        <w:r>
          <w:rPr>
            <w:noProof/>
            <w:webHidden/>
          </w:rPr>
          <w:tab/>
        </w:r>
        <w:r>
          <w:rPr>
            <w:noProof/>
            <w:webHidden/>
          </w:rPr>
          <w:fldChar w:fldCharType="begin"/>
        </w:r>
        <w:r>
          <w:rPr>
            <w:noProof/>
            <w:webHidden/>
          </w:rPr>
          <w:instrText xml:space="preserve"> PAGEREF _Toc220490823 \h </w:instrText>
        </w:r>
        <w:r>
          <w:rPr>
            <w:noProof/>
            <w:webHidden/>
          </w:rPr>
        </w:r>
        <w:r>
          <w:rPr>
            <w:noProof/>
            <w:webHidden/>
          </w:rPr>
          <w:fldChar w:fldCharType="separate"/>
        </w:r>
        <w:r>
          <w:rPr>
            <w:noProof/>
            <w:webHidden/>
          </w:rPr>
          <w:t>14</w:t>
        </w:r>
        <w:r>
          <w:rPr>
            <w:noProof/>
            <w:webHidden/>
          </w:rPr>
          <w:fldChar w:fldCharType="end"/>
        </w:r>
      </w:hyperlink>
    </w:p>
    <w:p w14:paraId="7DC767D5" w14:textId="4692AC80" w:rsidR="004F67DE" w:rsidRDefault="004F67D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0490824" w:history="1">
        <w:r w:rsidRPr="00846AC3">
          <w:rPr>
            <w:rStyle w:val="Lienhypertexte"/>
            <w:noProof/>
          </w:rPr>
          <w:t>15.7</w:t>
        </w:r>
        <w:r>
          <w:rPr>
            <w:rFonts w:eastAsiaTheme="minorEastAsia" w:cstheme="minorBidi"/>
            <w:smallCaps w:val="0"/>
            <w:noProof/>
            <w:kern w:val="2"/>
            <w:sz w:val="24"/>
            <w:szCs w:val="24"/>
            <w14:ligatures w14:val="standardContextual"/>
          </w:rPr>
          <w:tab/>
        </w:r>
        <w:r w:rsidRPr="00846AC3">
          <w:rPr>
            <w:rStyle w:val="Lienhypertexte"/>
            <w:noProof/>
          </w:rPr>
          <w:t>Communication du BEGES</w:t>
        </w:r>
        <w:r>
          <w:rPr>
            <w:noProof/>
            <w:webHidden/>
          </w:rPr>
          <w:tab/>
        </w:r>
        <w:r>
          <w:rPr>
            <w:noProof/>
            <w:webHidden/>
          </w:rPr>
          <w:fldChar w:fldCharType="begin"/>
        </w:r>
        <w:r>
          <w:rPr>
            <w:noProof/>
            <w:webHidden/>
          </w:rPr>
          <w:instrText xml:space="preserve"> PAGEREF _Toc220490824 \h </w:instrText>
        </w:r>
        <w:r>
          <w:rPr>
            <w:noProof/>
            <w:webHidden/>
          </w:rPr>
        </w:r>
        <w:r>
          <w:rPr>
            <w:noProof/>
            <w:webHidden/>
          </w:rPr>
          <w:fldChar w:fldCharType="separate"/>
        </w:r>
        <w:r>
          <w:rPr>
            <w:noProof/>
            <w:webHidden/>
          </w:rPr>
          <w:t>14</w:t>
        </w:r>
        <w:r>
          <w:rPr>
            <w:noProof/>
            <w:webHidden/>
          </w:rPr>
          <w:fldChar w:fldCharType="end"/>
        </w:r>
      </w:hyperlink>
    </w:p>
    <w:p w14:paraId="65E74845" w14:textId="3ACD2967" w:rsidR="004F67DE" w:rsidRDefault="004F67DE">
      <w:pPr>
        <w:pStyle w:val="TM1"/>
        <w:rPr>
          <w:rFonts w:eastAsiaTheme="minorEastAsia" w:cstheme="minorBidi"/>
          <w:b w:val="0"/>
          <w:bCs w:val="0"/>
          <w:caps w:val="0"/>
          <w:noProof/>
          <w:kern w:val="2"/>
          <w:sz w:val="24"/>
          <w:szCs w:val="24"/>
          <w14:ligatures w14:val="standardContextual"/>
        </w:rPr>
      </w:pPr>
      <w:hyperlink w:anchor="_Toc220490825" w:history="1">
        <w:r w:rsidRPr="00846AC3">
          <w:rPr>
            <w:rStyle w:val="Lienhypertexte"/>
            <w:noProof/>
            <w14:scene3d>
              <w14:camera w14:prst="orthographicFront"/>
              <w14:lightRig w14:rig="threePt" w14:dir="t">
                <w14:rot w14:lat="0" w14:lon="0" w14:rev="0"/>
              </w14:lightRig>
            </w14:scene3d>
          </w:rPr>
          <w:t>Article 16 -</w:t>
        </w:r>
        <w:r>
          <w:rPr>
            <w:rFonts w:eastAsiaTheme="minorEastAsia" w:cstheme="minorBidi"/>
            <w:b w:val="0"/>
            <w:bCs w:val="0"/>
            <w:caps w:val="0"/>
            <w:noProof/>
            <w:kern w:val="2"/>
            <w:sz w:val="24"/>
            <w:szCs w:val="24"/>
            <w14:ligatures w14:val="standardContextual"/>
          </w:rPr>
          <w:tab/>
        </w:r>
        <w:r w:rsidRPr="00846AC3">
          <w:rPr>
            <w:rStyle w:val="Lienhypertexte"/>
            <w:noProof/>
          </w:rPr>
          <w:t>DIFFERENDS ET LITIGES</w:t>
        </w:r>
        <w:r>
          <w:rPr>
            <w:noProof/>
            <w:webHidden/>
          </w:rPr>
          <w:tab/>
        </w:r>
        <w:r>
          <w:rPr>
            <w:noProof/>
            <w:webHidden/>
          </w:rPr>
          <w:fldChar w:fldCharType="begin"/>
        </w:r>
        <w:r>
          <w:rPr>
            <w:noProof/>
            <w:webHidden/>
          </w:rPr>
          <w:instrText xml:space="preserve"> PAGEREF _Toc220490825 \h </w:instrText>
        </w:r>
        <w:r>
          <w:rPr>
            <w:noProof/>
            <w:webHidden/>
          </w:rPr>
        </w:r>
        <w:r>
          <w:rPr>
            <w:noProof/>
            <w:webHidden/>
          </w:rPr>
          <w:fldChar w:fldCharType="separate"/>
        </w:r>
        <w:r>
          <w:rPr>
            <w:noProof/>
            <w:webHidden/>
          </w:rPr>
          <w:t>15</w:t>
        </w:r>
        <w:r>
          <w:rPr>
            <w:noProof/>
            <w:webHidden/>
          </w:rPr>
          <w:fldChar w:fldCharType="end"/>
        </w:r>
      </w:hyperlink>
    </w:p>
    <w:p w14:paraId="74CC5C80" w14:textId="5EC18057" w:rsidR="004F67DE" w:rsidRDefault="004F67DE">
      <w:pPr>
        <w:pStyle w:val="TM1"/>
        <w:rPr>
          <w:rFonts w:eastAsiaTheme="minorEastAsia" w:cstheme="minorBidi"/>
          <w:b w:val="0"/>
          <w:bCs w:val="0"/>
          <w:caps w:val="0"/>
          <w:noProof/>
          <w:kern w:val="2"/>
          <w:sz w:val="24"/>
          <w:szCs w:val="24"/>
          <w14:ligatures w14:val="standardContextual"/>
        </w:rPr>
      </w:pPr>
      <w:hyperlink w:anchor="_Toc220490826" w:history="1">
        <w:r w:rsidRPr="00846AC3">
          <w:rPr>
            <w:rStyle w:val="Lienhypertexte"/>
            <w:noProof/>
            <w14:scene3d>
              <w14:camera w14:prst="orthographicFront"/>
              <w14:lightRig w14:rig="threePt" w14:dir="t">
                <w14:rot w14:lat="0" w14:lon="0" w14:rev="0"/>
              </w14:lightRig>
            </w14:scene3d>
          </w:rPr>
          <w:t>Article 17 -</w:t>
        </w:r>
        <w:r>
          <w:rPr>
            <w:rFonts w:eastAsiaTheme="minorEastAsia" w:cstheme="minorBidi"/>
            <w:b w:val="0"/>
            <w:bCs w:val="0"/>
            <w:caps w:val="0"/>
            <w:noProof/>
            <w:kern w:val="2"/>
            <w:sz w:val="24"/>
            <w:szCs w:val="24"/>
            <w14:ligatures w14:val="standardContextual"/>
          </w:rPr>
          <w:tab/>
        </w:r>
        <w:r w:rsidRPr="00846AC3">
          <w:rPr>
            <w:rStyle w:val="Lienhypertexte"/>
            <w:noProof/>
          </w:rPr>
          <w:t>DEROGATIONS AU CCAG-PI</w:t>
        </w:r>
        <w:r>
          <w:rPr>
            <w:noProof/>
            <w:webHidden/>
          </w:rPr>
          <w:tab/>
        </w:r>
        <w:r>
          <w:rPr>
            <w:noProof/>
            <w:webHidden/>
          </w:rPr>
          <w:fldChar w:fldCharType="begin"/>
        </w:r>
        <w:r>
          <w:rPr>
            <w:noProof/>
            <w:webHidden/>
          </w:rPr>
          <w:instrText xml:space="preserve"> PAGEREF _Toc220490826 \h </w:instrText>
        </w:r>
        <w:r>
          <w:rPr>
            <w:noProof/>
            <w:webHidden/>
          </w:rPr>
        </w:r>
        <w:r>
          <w:rPr>
            <w:noProof/>
            <w:webHidden/>
          </w:rPr>
          <w:fldChar w:fldCharType="separate"/>
        </w:r>
        <w:r>
          <w:rPr>
            <w:noProof/>
            <w:webHidden/>
          </w:rPr>
          <w:t>15</w:t>
        </w:r>
        <w:r>
          <w:rPr>
            <w:noProof/>
            <w:webHidden/>
          </w:rPr>
          <w:fldChar w:fldCharType="end"/>
        </w:r>
      </w:hyperlink>
    </w:p>
    <w:p w14:paraId="2C6BA652" w14:textId="5F0587BE" w:rsidR="00A604E5" w:rsidRPr="008321B3" w:rsidRDefault="00CD37B4" w:rsidP="008321B3">
      <w:pPr>
        <w:widowControl/>
        <w:autoSpaceDE/>
        <w:autoSpaceDN/>
        <w:adjustRightInd/>
        <w:spacing w:after="0"/>
        <w:jc w:val="left"/>
        <w:rPr>
          <w:b/>
          <w:bCs/>
          <w:kern w:val="32"/>
          <w:sz w:val="28"/>
          <w:szCs w:val="32"/>
        </w:rPr>
        <w:sectPr w:rsidR="00A604E5" w:rsidRPr="008321B3" w:rsidSect="005F0D06">
          <w:pgSz w:w="11907" w:h="16840" w:code="9"/>
          <w:pgMar w:top="1135" w:right="1417" w:bottom="1417" w:left="1417" w:header="680" w:footer="794" w:gutter="0"/>
          <w:cols w:space="140"/>
          <w:titlePg/>
          <w:docGrid w:linePitch="272"/>
        </w:sectPr>
      </w:pPr>
      <w:r>
        <w:rPr>
          <w:b/>
          <w:bCs/>
          <w:kern w:val="32"/>
          <w:sz w:val="28"/>
          <w:szCs w:val="32"/>
        </w:rPr>
        <w:fldChar w:fldCharType="end"/>
      </w:r>
    </w:p>
    <w:p w14:paraId="48BF3112" w14:textId="77777777" w:rsidR="002D4932" w:rsidRPr="00A36637" w:rsidRDefault="002D4932" w:rsidP="002D4932">
      <w:pPr>
        <w:pStyle w:val="Titre1"/>
      </w:pPr>
      <w:bookmarkStart w:id="2" w:name="_Toc448150205"/>
      <w:bookmarkStart w:id="3" w:name="_Toc220490770"/>
      <w:r>
        <w:lastRenderedPageBreak/>
        <w:t>DEFINITIONS</w:t>
      </w:r>
      <w:bookmarkEnd w:id="2"/>
      <w:bookmarkEnd w:id="3"/>
    </w:p>
    <w:p w14:paraId="69CA50AF" w14:textId="77777777" w:rsidR="00841CC2" w:rsidRDefault="00C46D31" w:rsidP="00DC144A">
      <w:r>
        <w:t>Au sens du présent document :</w:t>
      </w:r>
    </w:p>
    <w:p w14:paraId="1CF6C536" w14:textId="77777777" w:rsidR="005D2DF4" w:rsidRPr="005D2DF4" w:rsidRDefault="005D2DF4" w:rsidP="005D2DF4">
      <w:pPr>
        <w:widowControl/>
        <w:autoSpaceDE/>
        <w:autoSpaceDN/>
        <w:adjustRightInd/>
        <w:ind w:right="39"/>
        <w:rPr>
          <w:noProof/>
          <w:color w:val="000000"/>
        </w:rPr>
      </w:pPr>
      <w:r w:rsidRPr="005D2DF4">
        <w:rPr>
          <w:noProof/>
          <w:color w:val="000000"/>
        </w:rPr>
        <w:t>« BPU » désigne l’abréviation pour bordereau des prix unitaires ;</w:t>
      </w:r>
    </w:p>
    <w:p w14:paraId="41F86948" w14:textId="7ACC1B7F" w:rsidR="005D2DF4" w:rsidRPr="005D2DF4" w:rsidRDefault="005D2DF4" w:rsidP="005D2DF4">
      <w:pPr>
        <w:widowControl/>
        <w:autoSpaceDE/>
        <w:autoSpaceDN/>
        <w:adjustRightInd/>
        <w:ind w:right="39"/>
        <w:rPr>
          <w:noProof/>
          <w:color w:val="000000"/>
        </w:rPr>
      </w:pPr>
      <w:r w:rsidRPr="005D2DF4">
        <w:rPr>
          <w:noProof/>
          <w:color w:val="000000"/>
        </w:rPr>
        <w:t xml:space="preserve">« CCAG » désigne le cahier des clauses administratives générales applicable au marché et défini à l’aticle </w:t>
      </w:r>
      <w:r>
        <w:rPr>
          <w:noProof/>
          <w:color w:val="000000"/>
        </w:rPr>
        <w:t>4</w:t>
      </w:r>
      <w:r w:rsidRPr="005D2DF4">
        <w:rPr>
          <w:noProof/>
          <w:color w:val="000000"/>
        </w:rPr>
        <w:t xml:space="preserve"> du p</w:t>
      </w:r>
      <w:r>
        <w:rPr>
          <w:noProof/>
          <w:color w:val="000000"/>
        </w:rPr>
        <w:t>rés</w:t>
      </w:r>
      <w:r w:rsidRPr="005D2DF4">
        <w:rPr>
          <w:noProof/>
          <w:color w:val="000000"/>
        </w:rPr>
        <w:t>ent CCAP ;</w:t>
      </w:r>
    </w:p>
    <w:p w14:paraId="71EBBFA0" w14:textId="77777777" w:rsidR="005D2DF4" w:rsidRPr="005D2DF4" w:rsidRDefault="005D2DF4" w:rsidP="005D2DF4">
      <w:pPr>
        <w:rPr>
          <w:noProof/>
          <w:color w:val="000000"/>
        </w:rPr>
      </w:pPr>
      <w:r w:rsidRPr="005D2DF4">
        <w:rPr>
          <w:noProof/>
          <w:color w:val="000000"/>
        </w:rPr>
        <w:t>« CNC » désigne la personne publique avec laquelle le Titulaire conclut le Marché public et désignée comme « acheteur » au sens du CCAG ;</w:t>
      </w:r>
    </w:p>
    <w:p w14:paraId="7C236079" w14:textId="77777777" w:rsidR="005D2DF4" w:rsidRPr="005D2DF4" w:rsidRDefault="005D2DF4" w:rsidP="005D2DF4">
      <w:pPr>
        <w:widowControl/>
        <w:autoSpaceDE/>
        <w:autoSpaceDN/>
        <w:adjustRightInd/>
        <w:ind w:right="39"/>
        <w:rPr>
          <w:noProof/>
          <w:color w:val="000000"/>
        </w:rPr>
      </w:pPr>
      <w:r w:rsidRPr="005D2DF4">
        <w:rPr>
          <w:noProof/>
          <w:color w:val="000000"/>
        </w:rPr>
        <w:t>« CCAP » désigne l’abréviation pour « cahier des clauses administartives particulières » ;</w:t>
      </w:r>
    </w:p>
    <w:p w14:paraId="38D7DCF8" w14:textId="6CD68D92" w:rsidR="005D2DF4" w:rsidRPr="005D2DF4" w:rsidRDefault="005D2DF4" w:rsidP="005D2DF4">
      <w:pPr>
        <w:widowControl/>
        <w:autoSpaceDE/>
        <w:autoSpaceDN/>
        <w:adjustRightInd/>
        <w:ind w:right="39"/>
        <w:rPr>
          <w:noProof/>
          <w:color w:val="000000"/>
        </w:rPr>
      </w:pPr>
      <w:r w:rsidRPr="005D2DF4">
        <w:rPr>
          <w:noProof/>
          <w:color w:val="000000"/>
        </w:rPr>
        <w:t>« Marché » ou « Marché public » désigne, au sens de l’article L.1111-1 du Code de la commande publique, le présent contrat qui prend la forme définie à l’article 2.4 du présent CCAP et correspond au terme « marché » employé dans le CCAG ;</w:t>
      </w:r>
    </w:p>
    <w:p w14:paraId="2F84165C" w14:textId="77777777" w:rsidR="0078249F" w:rsidRDefault="00F36401" w:rsidP="00DC144A">
      <w:r w:rsidRPr="00C66922">
        <w:t xml:space="preserve">« </w:t>
      </w:r>
      <w:r>
        <w:t>Prestations</w:t>
      </w:r>
      <w:r w:rsidRPr="00C66922">
        <w:t xml:space="preserve"> » désignent</w:t>
      </w:r>
      <w:r>
        <w:t xml:space="preserve"> l</w:t>
      </w:r>
      <w:r w:rsidRPr="00C66922">
        <w:t xml:space="preserve">es </w:t>
      </w:r>
      <w:r w:rsidR="00AF2A3A">
        <w:t xml:space="preserve">fournitures et </w:t>
      </w:r>
      <w:r w:rsidRPr="00C66922">
        <w:t>services</w:t>
      </w:r>
      <w:r>
        <w:t xml:space="preserve"> relatifs </w:t>
      </w:r>
      <w:r w:rsidR="00AF2A3A">
        <w:t xml:space="preserve">au présent </w:t>
      </w:r>
      <w:r w:rsidR="00EE4CE1">
        <w:t>Marché public</w:t>
      </w:r>
      <w:r>
        <w:t> ;</w:t>
      </w:r>
    </w:p>
    <w:p w14:paraId="7C5C942D" w14:textId="53CE37FB" w:rsidR="005D2DF4" w:rsidRPr="005D2DF4" w:rsidRDefault="005D2DF4" w:rsidP="005D2DF4">
      <w:pPr>
        <w:widowControl/>
        <w:autoSpaceDE/>
        <w:autoSpaceDN/>
        <w:adjustRightInd/>
        <w:ind w:right="39"/>
        <w:rPr>
          <w:noProof/>
          <w:color w:val="000000"/>
        </w:rPr>
      </w:pPr>
      <w:r w:rsidRPr="005D2DF4">
        <w:rPr>
          <w:noProof/>
          <w:color w:val="000000"/>
        </w:rPr>
        <w:t>« RC » désigne l’abréviation pour « règlement de la consultation » ;</w:t>
      </w:r>
    </w:p>
    <w:p w14:paraId="229653C9" w14:textId="0AE6BA32" w:rsidR="00F36401" w:rsidRDefault="00841CC2" w:rsidP="00841CC2">
      <w:r>
        <w:t xml:space="preserve">« </w:t>
      </w:r>
      <w:r w:rsidR="008248CD">
        <w:t>Titulaire</w:t>
      </w:r>
      <w:r w:rsidR="00F36401">
        <w:t xml:space="preserve"> » désigne l’opérateur économique qui conclut le </w:t>
      </w:r>
      <w:r w:rsidR="00EE4CE1">
        <w:t>Marché public</w:t>
      </w:r>
      <w:r w:rsidR="00915AF0">
        <w:t xml:space="preserve"> </w:t>
      </w:r>
      <w:r w:rsidR="00F36401">
        <w:t>avec le Pouvoir adjudicateur. En cas de groupement de</w:t>
      </w:r>
      <w:r w:rsidR="00D4427F">
        <w:t xml:space="preserve">s opérateurs économiques, le « </w:t>
      </w:r>
      <w:r w:rsidR="008248CD">
        <w:t>Titulaire</w:t>
      </w:r>
      <w:r w:rsidR="00F36401">
        <w:t xml:space="preserve"> » désigne les membres du groupement, représenté, le </w:t>
      </w:r>
      <w:r>
        <w:t>cas échéant, par son mandataire ;</w:t>
      </w:r>
    </w:p>
    <w:p w14:paraId="7C19022F" w14:textId="6AACFF31" w:rsidR="008C7E30" w:rsidRDefault="008C7E30" w:rsidP="00841CC2">
      <w:r>
        <w:t xml:space="preserve">Les définitions ci-avant valent aussi bien pour le </w:t>
      </w:r>
      <w:r w:rsidRPr="007D1566">
        <w:t xml:space="preserve">présent </w:t>
      </w:r>
      <w:r w:rsidR="005D2DF4" w:rsidRPr="005D2DF4">
        <w:t xml:space="preserve">cahier des clauses administratives particulières </w:t>
      </w:r>
      <w:r w:rsidRPr="007D1566">
        <w:t>(CC</w:t>
      </w:r>
      <w:r w:rsidR="005D2DF4">
        <w:t>A</w:t>
      </w:r>
      <w:r w:rsidRPr="007D1566">
        <w:t>P)</w:t>
      </w:r>
      <w:r w:rsidR="009A21CB" w:rsidRPr="007D1566">
        <w:t xml:space="preserve"> </w:t>
      </w:r>
      <w:r w:rsidRPr="007D1566">
        <w:t>que</w:t>
      </w:r>
      <w:r>
        <w:t xml:space="preserve"> pour l’ensemble du Dossier de Consultation des Entrep</w:t>
      </w:r>
      <w:r w:rsidR="00FD6888">
        <w:t xml:space="preserve">rises (DCE). </w:t>
      </w:r>
    </w:p>
    <w:p w14:paraId="6675BFCE" w14:textId="77777777" w:rsidR="009D2388" w:rsidRPr="00A36637" w:rsidRDefault="00112280" w:rsidP="00B427CB">
      <w:pPr>
        <w:pStyle w:val="Titre1"/>
        <w:tabs>
          <w:tab w:val="num" w:pos="-153"/>
        </w:tabs>
      </w:pPr>
      <w:bookmarkStart w:id="4" w:name="_Toc220490771"/>
      <w:r>
        <w:t>CARACTERISTIQUES PRINCIPALES DU MARCHE</w:t>
      </w:r>
      <w:bookmarkEnd w:id="4"/>
    </w:p>
    <w:p w14:paraId="7EF16521" w14:textId="77777777" w:rsidR="009D0E24" w:rsidRPr="003B07B6" w:rsidRDefault="009D0E24" w:rsidP="003B07B6">
      <w:pPr>
        <w:pStyle w:val="Titre2"/>
      </w:pPr>
      <w:bookmarkStart w:id="5" w:name="_Toc220490772"/>
      <w:bookmarkStart w:id="6" w:name="_Toc448150209"/>
      <w:r w:rsidRPr="003B07B6">
        <w:t>Objet du Marché public</w:t>
      </w:r>
      <w:bookmarkEnd w:id="5"/>
    </w:p>
    <w:p w14:paraId="375A2C47" w14:textId="1886811D" w:rsidR="00640E12" w:rsidRDefault="009D0E24" w:rsidP="00521419">
      <w:pPr>
        <w:widowControl/>
        <w:autoSpaceDE/>
        <w:autoSpaceDN/>
        <w:adjustRightInd/>
        <w:spacing w:before="120"/>
        <w:outlineLvl w:val="2"/>
        <w:rPr>
          <w:rFonts w:cs="Times New Roman"/>
        </w:rPr>
      </w:pPr>
      <w:r w:rsidRPr="001876D3">
        <w:rPr>
          <w:rFonts w:cs="Times New Roman"/>
        </w:rPr>
        <w:t>Le présent marché a pour objet </w:t>
      </w:r>
      <w:r w:rsidR="001876D3">
        <w:rPr>
          <w:rFonts w:cs="Times New Roman"/>
        </w:rPr>
        <w:t>la réalisation de p</w:t>
      </w:r>
      <w:r w:rsidR="008D7499" w:rsidRPr="008D7499">
        <w:rPr>
          <w:rFonts w:cs="Times New Roman"/>
        </w:rPr>
        <w:t>restations d’audits</w:t>
      </w:r>
      <w:r w:rsidR="001876D3">
        <w:rPr>
          <w:rFonts w:cs="Times New Roman"/>
        </w:rPr>
        <w:t xml:space="preserve"> de comptes de production et d’exploitation </w:t>
      </w:r>
      <w:r w:rsidR="00F85CC9">
        <w:rPr>
          <w:rFonts w:cs="Times New Roman"/>
        </w:rPr>
        <w:t>d’</w:t>
      </w:r>
      <w:r w:rsidR="001876D3">
        <w:rPr>
          <w:rFonts w:cs="Times New Roman"/>
        </w:rPr>
        <w:t xml:space="preserve">œuvres </w:t>
      </w:r>
      <w:r w:rsidR="008D7499" w:rsidRPr="008D7499">
        <w:rPr>
          <w:rFonts w:cs="Times New Roman"/>
        </w:rPr>
        <w:t>audiovisuelles</w:t>
      </w:r>
      <w:r w:rsidR="001876D3">
        <w:rPr>
          <w:rFonts w:cs="Times New Roman"/>
        </w:rPr>
        <w:t xml:space="preserve"> et cinématographiques</w:t>
      </w:r>
      <w:r w:rsidR="008D7499" w:rsidRPr="008D7499">
        <w:rPr>
          <w:rFonts w:cs="Times New Roman"/>
        </w:rPr>
        <w:t>.</w:t>
      </w:r>
    </w:p>
    <w:p w14:paraId="0C8240A8" w14:textId="4F3D1369" w:rsidR="009D2388" w:rsidRPr="003B07B6" w:rsidRDefault="009D2388" w:rsidP="003B07B6">
      <w:pPr>
        <w:pStyle w:val="Titre2"/>
      </w:pPr>
      <w:bookmarkStart w:id="7" w:name="_Toc220490773"/>
      <w:r w:rsidRPr="003B07B6">
        <w:t xml:space="preserve">Forme </w:t>
      </w:r>
      <w:r w:rsidR="00FD6888" w:rsidRPr="003B07B6">
        <w:t xml:space="preserve">et montant </w:t>
      </w:r>
      <w:r w:rsidRPr="003B07B6">
        <w:t xml:space="preserve">du </w:t>
      </w:r>
      <w:bookmarkEnd w:id="6"/>
      <w:r w:rsidR="00EE4CE1" w:rsidRPr="003B07B6">
        <w:t>Marché public</w:t>
      </w:r>
      <w:bookmarkEnd w:id="7"/>
    </w:p>
    <w:p w14:paraId="4DD8406A" w14:textId="50A57E58" w:rsidR="009C70C1" w:rsidRDefault="00C71117" w:rsidP="009C70C1">
      <w:pPr>
        <w:widowControl/>
        <w:autoSpaceDE/>
        <w:autoSpaceDN/>
        <w:adjustRightInd/>
        <w:spacing w:before="108"/>
        <w:ind w:right="49"/>
        <w:rPr>
          <w:spacing w:val="-2"/>
        </w:rPr>
      </w:pPr>
      <w:bookmarkStart w:id="8" w:name="_Toc448150211"/>
      <w:r>
        <w:rPr>
          <w:spacing w:val="-2"/>
        </w:rPr>
        <w:t>Le présent M</w:t>
      </w:r>
      <w:r w:rsidRPr="00C71117">
        <w:rPr>
          <w:spacing w:val="-2"/>
        </w:rPr>
        <w:t xml:space="preserve">arché public </w:t>
      </w:r>
      <w:r>
        <w:rPr>
          <w:spacing w:val="-2"/>
        </w:rPr>
        <w:t>prend la forme d’</w:t>
      </w:r>
      <w:r w:rsidRPr="00C71117">
        <w:rPr>
          <w:spacing w:val="-2"/>
        </w:rPr>
        <w:t>un accord-cadre à bons de commande multi-attributaire</w:t>
      </w:r>
      <w:r w:rsidR="00F044E2">
        <w:rPr>
          <w:spacing w:val="-2"/>
        </w:rPr>
        <w:t>s</w:t>
      </w:r>
      <w:r w:rsidRPr="00C71117">
        <w:rPr>
          <w:spacing w:val="-2"/>
        </w:rPr>
        <w:t xml:space="preserve"> sans minimum et avec un maximum fixé à </w:t>
      </w:r>
      <w:r w:rsidR="00C43406">
        <w:rPr>
          <w:spacing w:val="-2"/>
        </w:rPr>
        <w:t>1 800</w:t>
      </w:r>
      <w:r w:rsidR="00FF6C84">
        <w:rPr>
          <w:spacing w:val="-2"/>
        </w:rPr>
        <w:t xml:space="preserve"> 000</w:t>
      </w:r>
      <w:r w:rsidRPr="006C716A">
        <w:rPr>
          <w:spacing w:val="-2"/>
        </w:rPr>
        <w:t xml:space="preserve"> </w:t>
      </w:r>
      <w:r w:rsidR="0058166A" w:rsidRPr="00046CE4">
        <w:rPr>
          <w:spacing w:val="-2"/>
        </w:rPr>
        <w:t xml:space="preserve">€ </w:t>
      </w:r>
      <w:r w:rsidR="00A94CB7">
        <w:rPr>
          <w:spacing w:val="-2"/>
        </w:rPr>
        <w:t>HT</w:t>
      </w:r>
      <w:r w:rsidR="00215E92">
        <w:rPr>
          <w:spacing w:val="-2"/>
        </w:rPr>
        <w:t>.</w:t>
      </w:r>
      <w:bookmarkStart w:id="9" w:name="_Toc431279924"/>
    </w:p>
    <w:p w14:paraId="518779D5" w14:textId="76203D30" w:rsidR="00C71117" w:rsidRPr="003B07B6" w:rsidRDefault="00C71117" w:rsidP="003B07B6">
      <w:pPr>
        <w:pStyle w:val="Titre2"/>
      </w:pPr>
      <w:bookmarkStart w:id="10" w:name="_Toc220490774"/>
      <w:r w:rsidRPr="003B07B6">
        <w:t>Nombre d’attributaires</w:t>
      </w:r>
      <w:bookmarkEnd w:id="9"/>
      <w:bookmarkEnd w:id="10"/>
    </w:p>
    <w:p w14:paraId="5559B007" w14:textId="2BA0218E" w:rsidR="00C71117" w:rsidRPr="00C71117" w:rsidRDefault="00C71117" w:rsidP="00C71117">
      <w:pPr>
        <w:widowControl/>
        <w:autoSpaceDE/>
        <w:autoSpaceDN/>
        <w:adjustRightInd/>
        <w:spacing w:before="108"/>
        <w:ind w:right="49"/>
        <w:rPr>
          <w:spacing w:val="-2"/>
        </w:rPr>
      </w:pPr>
      <w:r w:rsidRPr="00C71117">
        <w:rPr>
          <w:spacing w:val="-2"/>
        </w:rPr>
        <w:t xml:space="preserve">Le nombre d’attributaires est fixé à </w:t>
      </w:r>
      <w:r w:rsidR="00920426">
        <w:rPr>
          <w:spacing w:val="-2"/>
        </w:rPr>
        <w:t>5</w:t>
      </w:r>
      <w:r w:rsidRPr="00C71117">
        <w:rPr>
          <w:spacing w:val="-2"/>
        </w:rPr>
        <w:t xml:space="preserve"> (</w:t>
      </w:r>
      <w:r w:rsidR="00920426">
        <w:rPr>
          <w:spacing w:val="-2"/>
        </w:rPr>
        <w:t>cinq</w:t>
      </w:r>
      <w:r w:rsidRPr="00C71117">
        <w:rPr>
          <w:spacing w:val="-2"/>
        </w:rPr>
        <w:t>) sous réserve d’un nombre suffisant de candidats et d’offres.</w:t>
      </w:r>
    </w:p>
    <w:p w14:paraId="6CC2D99A" w14:textId="0FB46A40" w:rsidR="00C71117" w:rsidRPr="00C71117" w:rsidRDefault="00C71117" w:rsidP="00C71117">
      <w:pPr>
        <w:widowControl/>
        <w:autoSpaceDE/>
        <w:autoSpaceDN/>
        <w:adjustRightInd/>
        <w:spacing w:before="108"/>
        <w:ind w:right="49"/>
        <w:rPr>
          <w:spacing w:val="-2"/>
        </w:rPr>
      </w:pPr>
      <w:r w:rsidRPr="00C71117">
        <w:rPr>
          <w:spacing w:val="-2"/>
        </w:rPr>
        <w:t xml:space="preserve">Remarque : chaque attributaire est lié au CNC par un </w:t>
      </w:r>
      <w:r w:rsidR="008D0D9B">
        <w:rPr>
          <w:spacing w:val="-2"/>
        </w:rPr>
        <w:t>M</w:t>
      </w:r>
      <w:r w:rsidRPr="00C71117">
        <w:rPr>
          <w:spacing w:val="-2"/>
        </w:rPr>
        <w:t>arché</w:t>
      </w:r>
      <w:r w:rsidR="008D0D9B">
        <w:rPr>
          <w:spacing w:val="-2"/>
        </w:rPr>
        <w:t xml:space="preserve"> public</w:t>
      </w:r>
      <w:r w:rsidRPr="00C71117">
        <w:rPr>
          <w:spacing w:val="-2"/>
        </w:rPr>
        <w:t>.</w:t>
      </w:r>
    </w:p>
    <w:p w14:paraId="0A22D9B7" w14:textId="77777777" w:rsidR="009D2388" w:rsidRPr="003B07B6" w:rsidRDefault="009D2388" w:rsidP="003B07B6">
      <w:pPr>
        <w:pStyle w:val="Titre2"/>
      </w:pPr>
      <w:bookmarkStart w:id="11" w:name="_Toc220490775"/>
      <w:r w:rsidRPr="003B07B6">
        <w:t xml:space="preserve">Durée du </w:t>
      </w:r>
      <w:bookmarkEnd w:id="8"/>
      <w:r w:rsidR="00EE4CE1" w:rsidRPr="003B07B6">
        <w:t>Marché public</w:t>
      </w:r>
      <w:bookmarkEnd w:id="11"/>
    </w:p>
    <w:p w14:paraId="467DA886" w14:textId="53B639ED" w:rsidR="001A6174" w:rsidRDefault="00B058B2" w:rsidP="00C71117">
      <w:pPr>
        <w:widowControl/>
        <w:autoSpaceDE/>
        <w:autoSpaceDN/>
        <w:adjustRightInd/>
        <w:spacing w:before="108"/>
        <w:ind w:right="49"/>
        <w:rPr>
          <w:spacing w:val="-2"/>
        </w:rPr>
      </w:pPr>
      <w:r w:rsidRPr="00B058B2">
        <w:rPr>
          <w:spacing w:val="-2"/>
        </w:rPr>
        <w:t xml:space="preserve">Le présent </w:t>
      </w:r>
      <w:r w:rsidR="008D0D9B">
        <w:rPr>
          <w:spacing w:val="-2"/>
        </w:rPr>
        <w:t>M</w:t>
      </w:r>
      <w:r w:rsidRPr="00B058B2">
        <w:rPr>
          <w:spacing w:val="-2"/>
        </w:rPr>
        <w:t xml:space="preserve">arché public est conclu pour une durée </w:t>
      </w:r>
      <w:r w:rsidR="001A6174">
        <w:rPr>
          <w:spacing w:val="-2"/>
        </w:rPr>
        <w:t xml:space="preserve">de 12 mois à compter de sa date de notification. </w:t>
      </w:r>
    </w:p>
    <w:p w14:paraId="10D91916" w14:textId="412CB4D8" w:rsidR="00DB25B2" w:rsidRDefault="00DB25B2" w:rsidP="00C71117">
      <w:pPr>
        <w:widowControl/>
        <w:autoSpaceDE/>
        <w:autoSpaceDN/>
        <w:adjustRightInd/>
        <w:spacing w:before="108"/>
        <w:ind w:right="49"/>
        <w:rPr>
          <w:spacing w:val="-2"/>
        </w:rPr>
      </w:pPr>
      <w:r>
        <w:rPr>
          <w:spacing w:val="-2"/>
        </w:rPr>
        <w:t>Il est tacitement reconductible 3 fois pour une période de 12 mois à chaque reconduction.</w:t>
      </w:r>
    </w:p>
    <w:p w14:paraId="3DE76678" w14:textId="651D85DD" w:rsidR="00215E92" w:rsidRPr="00215E92" w:rsidRDefault="00215E92" w:rsidP="00215E92">
      <w:pPr>
        <w:pStyle w:val="Titre2"/>
      </w:pPr>
      <w:bookmarkStart w:id="12" w:name="_Toc220490776"/>
      <w:r>
        <w:t>P</w:t>
      </w:r>
      <w:r w:rsidRPr="00215E92">
        <w:t>rocédure de consultation</w:t>
      </w:r>
      <w:bookmarkEnd w:id="12"/>
      <w:r w:rsidRPr="00215E92">
        <w:t xml:space="preserve"> </w:t>
      </w:r>
    </w:p>
    <w:p w14:paraId="1070D317" w14:textId="4FB82FC1" w:rsidR="00215E92" w:rsidRPr="00215E92" w:rsidRDefault="00215E92" w:rsidP="00215E92">
      <w:pPr>
        <w:widowControl/>
        <w:autoSpaceDE/>
        <w:autoSpaceDN/>
        <w:adjustRightInd/>
        <w:spacing w:before="108"/>
        <w:ind w:right="49"/>
        <w:rPr>
          <w:spacing w:val="-2"/>
        </w:rPr>
      </w:pPr>
      <w:r w:rsidRPr="00B058B2">
        <w:rPr>
          <w:spacing w:val="-2"/>
        </w:rPr>
        <w:t xml:space="preserve">Le présent </w:t>
      </w:r>
      <w:r>
        <w:rPr>
          <w:spacing w:val="-2"/>
        </w:rPr>
        <w:t>M</w:t>
      </w:r>
      <w:r w:rsidRPr="00B058B2">
        <w:rPr>
          <w:spacing w:val="-2"/>
        </w:rPr>
        <w:t xml:space="preserve">arché public est </w:t>
      </w:r>
      <w:r>
        <w:rPr>
          <w:spacing w:val="-2"/>
        </w:rPr>
        <w:t>passé dans le cadre d’une procédure d’a</w:t>
      </w:r>
      <w:r w:rsidRPr="00215E92">
        <w:rPr>
          <w:spacing w:val="-2"/>
        </w:rPr>
        <w:t>ppel d’offre ouvert en application des articles L 2124-2, R 2124-1, R 2124-2, R 2131-16 et R 2161-2 à R 2161</w:t>
      </w:r>
      <w:r w:rsidRPr="00215E92">
        <w:rPr>
          <w:spacing w:val="-2"/>
        </w:rPr>
        <w:noBreakHyphen/>
        <w:t>5 du Code de la commande publique.</w:t>
      </w:r>
    </w:p>
    <w:p w14:paraId="0612541C" w14:textId="77777777" w:rsidR="009D2388" w:rsidRPr="00392BE0" w:rsidRDefault="009D2388" w:rsidP="00B427CB">
      <w:pPr>
        <w:pStyle w:val="Titre1"/>
        <w:tabs>
          <w:tab w:val="num" w:pos="-153"/>
        </w:tabs>
      </w:pPr>
      <w:bookmarkStart w:id="13" w:name="_Toc448150212"/>
      <w:bookmarkStart w:id="14" w:name="_Toc220490777"/>
      <w:r w:rsidRPr="00392BE0">
        <w:t>REPRESENTANTS DES PARTIES</w:t>
      </w:r>
      <w:bookmarkEnd w:id="13"/>
      <w:bookmarkEnd w:id="14"/>
    </w:p>
    <w:p w14:paraId="08315978" w14:textId="77777777" w:rsidR="00DE7C57" w:rsidRPr="003B07B6" w:rsidRDefault="00DE7C57" w:rsidP="003B07B6">
      <w:pPr>
        <w:pStyle w:val="Titre2"/>
      </w:pPr>
      <w:bookmarkStart w:id="15" w:name="_Toc448150213"/>
      <w:bookmarkStart w:id="16" w:name="_Toc220490778"/>
      <w:r w:rsidRPr="003B07B6">
        <w:t xml:space="preserve">Représentation du </w:t>
      </w:r>
      <w:r w:rsidR="00C60A3F" w:rsidRPr="003B07B6">
        <w:t>pouvoir adjudicateur</w:t>
      </w:r>
      <w:bookmarkEnd w:id="15"/>
      <w:bookmarkEnd w:id="16"/>
    </w:p>
    <w:p w14:paraId="6841F2E9" w14:textId="6B9359F5" w:rsidR="00065EAA" w:rsidRDefault="0058166A" w:rsidP="00DE7C57">
      <w:r>
        <w:t>Concernant les prestations portant sur des œuvres cinématographiques, l</w:t>
      </w:r>
      <w:r w:rsidR="00C71117" w:rsidRPr="00392BE0">
        <w:t>e directeur du cinéma</w:t>
      </w:r>
      <w:r w:rsidR="00192358">
        <w:t xml:space="preserve">, </w:t>
      </w:r>
      <w:r>
        <w:t>ses</w:t>
      </w:r>
      <w:r w:rsidR="00C71117" w:rsidRPr="00392BE0">
        <w:t xml:space="preserve"> adjoint</w:t>
      </w:r>
      <w:r w:rsidR="00192358">
        <w:t>s</w:t>
      </w:r>
      <w:r w:rsidR="00C71117" w:rsidRPr="00392BE0">
        <w:t xml:space="preserve"> </w:t>
      </w:r>
      <w:r w:rsidR="00DE7C57" w:rsidRPr="00392BE0">
        <w:t>assure</w:t>
      </w:r>
      <w:r w:rsidR="00FD6888" w:rsidRPr="00392BE0">
        <w:t>nt</w:t>
      </w:r>
      <w:r w:rsidR="00DE7C57" w:rsidRPr="00392BE0">
        <w:t xml:space="preserve"> le suivi de l'exécution du présent </w:t>
      </w:r>
      <w:r w:rsidR="00D71167">
        <w:t>m</w:t>
      </w:r>
      <w:r w:rsidR="00EE4CE1" w:rsidRPr="00392BE0">
        <w:t>arché public</w:t>
      </w:r>
      <w:r w:rsidR="00C3164F" w:rsidRPr="00392BE0">
        <w:t xml:space="preserve"> </w:t>
      </w:r>
      <w:r w:rsidR="00DE7C57" w:rsidRPr="00392BE0">
        <w:t xml:space="preserve">dans la limite des délégations de </w:t>
      </w:r>
      <w:r w:rsidR="00DE7C57" w:rsidRPr="00392BE0">
        <w:lastRenderedPageBreak/>
        <w:t xml:space="preserve">signatures consenties par le Président du CNC. </w:t>
      </w:r>
    </w:p>
    <w:p w14:paraId="6277658A" w14:textId="0EEEF9A1" w:rsidR="0058166A" w:rsidRDefault="0058166A" w:rsidP="0058166A">
      <w:r>
        <w:t>Concernant les prestations portant sur des œuvres audiovisuelles,</w:t>
      </w:r>
      <w:r w:rsidRPr="0058166A">
        <w:t xml:space="preserve"> </w:t>
      </w:r>
      <w:r>
        <w:t>le directeur de l’audiovisuel</w:t>
      </w:r>
      <w:r w:rsidRPr="00392BE0">
        <w:t xml:space="preserve"> et </w:t>
      </w:r>
      <w:r>
        <w:t>son</w:t>
      </w:r>
      <w:r w:rsidRPr="00392BE0">
        <w:t xml:space="preserve"> adjoint assurent le suivi de l'exécution du présent </w:t>
      </w:r>
      <w:r w:rsidR="00D71167">
        <w:t>m</w:t>
      </w:r>
      <w:r w:rsidRPr="00392BE0">
        <w:t xml:space="preserve">arché public dans la limite des délégations de signatures consenties par le Président du CNC. </w:t>
      </w:r>
    </w:p>
    <w:p w14:paraId="4510B5D4" w14:textId="77777777" w:rsidR="00DE7C57" w:rsidRPr="00392BE0" w:rsidRDefault="00DE7C57" w:rsidP="00DE7C57">
      <w:r w:rsidRPr="00392BE0">
        <w:t xml:space="preserve">Le </w:t>
      </w:r>
      <w:r w:rsidR="00BE2520" w:rsidRPr="00392BE0">
        <w:t>CNC</w:t>
      </w:r>
      <w:r w:rsidRPr="00392BE0">
        <w:t xml:space="preserve"> notifie toute modification de l'interlocuteur au </w:t>
      </w:r>
      <w:r w:rsidR="008248CD" w:rsidRPr="00392BE0">
        <w:t>Titulaire</w:t>
      </w:r>
      <w:r w:rsidRPr="00392BE0">
        <w:t>.</w:t>
      </w:r>
    </w:p>
    <w:p w14:paraId="2D1C500C" w14:textId="77777777" w:rsidR="00DE7C57" w:rsidRPr="003B07B6" w:rsidRDefault="00DE7C57" w:rsidP="003B07B6">
      <w:pPr>
        <w:pStyle w:val="Titre2"/>
      </w:pPr>
      <w:bookmarkStart w:id="17" w:name="_Toc448150214"/>
      <w:bookmarkStart w:id="18" w:name="_Toc220490779"/>
      <w:r w:rsidRPr="003B07B6">
        <w:t xml:space="preserve">Représentation du </w:t>
      </w:r>
      <w:r w:rsidR="008248CD" w:rsidRPr="003B07B6">
        <w:t>Titulaire</w:t>
      </w:r>
      <w:bookmarkEnd w:id="17"/>
      <w:bookmarkEnd w:id="18"/>
    </w:p>
    <w:p w14:paraId="3237A185" w14:textId="77777777" w:rsidR="00DE7C57" w:rsidRPr="00392BE0" w:rsidRDefault="00DE7C57" w:rsidP="00DE7C57">
      <w:r w:rsidRPr="00392BE0">
        <w:t xml:space="preserve">Le </w:t>
      </w:r>
      <w:r w:rsidR="008248CD" w:rsidRPr="00392BE0">
        <w:t>Titulaire</w:t>
      </w:r>
      <w:r w:rsidRPr="00392BE0">
        <w:t xml:space="preserve"> dés</w:t>
      </w:r>
      <w:r w:rsidR="007721C9" w:rsidRPr="00392BE0">
        <w:t xml:space="preserve">igne, dès la </w:t>
      </w:r>
      <w:r w:rsidR="00D24C09" w:rsidRPr="00392BE0">
        <w:t>n</w:t>
      </w:r>
      <w:r w:rsidR="006F1F90" w:rsidRPr="00392BE0">
        <w:t>otification</w:t>
      </w:r>
      <w:r w:rsidR="007721C9" w:rsidRPr="00392BE0">
        <w:t xml:space="preserve"> du </w:t>
      </w:r>
      <w:r w:rsidR="00EE4CE1" w:rsidRPr="00392BE0">
        <w:t>Marché public</w:t>
      </w:r>
      <w:r w:rsidR="00C3164F" w:rsidRPr="00392BE0">
        <w:t xml:space="preserve"> </w:t>
      </w:r>
      <w:r w:rsidR="007721C9" w:rsidRPr="00392BE0">
        <w:t>un interlocuteur habilité</w:t>
      </w:r>
      <w:r w:rsidRPr="00392BE0">
        <w:t xml:space="preserve"> à le représenter </w:t>
      </w:r>
      <w:r w:rsidR="007721C9" w:rsidRPr="00392BE0">
        <w:t>auprès du CNC</w:t>
      </w:r>
      <w:r w:rsidR="00065EAA" w:rsidRPr="00392BE0">
        <w:t xml:space="preserve"> </w:t>
      </w:r>
      <w:r w:rsidRPr="00392BE0">
        <w:t xml:space="preserve">pour les besoins de l'exécution du </w:t>
      </w:r>
      <w:r w:rsidR="00EE4CE1" w:rsidRPr="00392BE0">
        <w:t>Marché public</w:t>
      </w:r>
      <w:r w:rsidRPr="00392BE0">
        <w:t>.</w:t>
      </w:r>
    </w:p>
    <w:p w14:paraId="1B3C37E5" w14:textId="77777777" w:rsidR="00100E7B" w:rsidRPr="00392BE0" w:rsidRDefault="00DE7C57" w:rsidP="00DE7C57">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169312DA" w14:textId="3A008576" w:rsidR="005C3281" w:rsidRDefault="00143D8F" w:rsidP="00143D8F">
      <w:pPr>
        <w:pStyle w:val="Titre1"/>
        <w:tabs>
          <w:tab w:val="num" w:pos="-153"/>
        </w:tabs>
      </w:pPr>
      <w:bookmarkStart w:id="19" w:name="_Toc448150215"/>
      <w:bookmarkStart w:id="20" w:name="_Toc220490780"/>
      <w:r w:rsidRPr="00392BE0">
        <w:t>DOCUMENTS CONTRACTUELS</w:t>
      </w:r>
      <w:bookmarkEnd w:id="19"/>
      <w:bookmarkEnd w:id="20"/>
    </w:p>
    <w:p w14:paraId="67275BB8" w14:textId="77777777" w:rsidR="005C3281" w:rsidRPr="006D7B19" w:rsidRDefault="005C3281" w:rsidP="005C3281">
      <w:pPr>
        <w:ind w:right="39"/>
        <w:rPr>
          <w:noProof/>
          <w:color w:val="000000"/>
        </w:rPr>
      </w:pPr>
      <w:r w:rsidRPr="007F1431">
        <w:rPr>
          <w:noProof/>
          <w:color w:val="000000"/>
        </w:rPr>
        <w:t>Par dérogation à l’article 4.1</w:t>
      </w:r>
      <w:r w:rsidRPr="006D7B19">
        <w:rPr>
          <w:noProof/>
          <w:color w:val="000000"/>
        </w:rPr>
        <w:t xml:space="preserve"> du </w:t>
      </w:r>
      <w:r>
        <w:rPr>
          <w:noProof/>
          <w:color w:val="000000"/>
        </w:rPr>
        <w:t>CCAG-PI</w:t>
      </w:r>
      <w:r w:rsidRPr="006D7B19">
        <w:rPr>
          <w:noProof/>
          <w:color w:val="000000"/>
        </w:rPr>
        <w:t>, les pièces constitutives du Marché public sont, par ordre de priorité décroissante :</w:t>
      </w:r>
    </w:p>
    <w:p w14:paraId="6BF6845F" w14:textId="77777777" w:rsidR="005C3281" w:rsidRDefault="005C3281" w:rsidP="00205AB7">
      <w:pPr>
        <w:pStyle w:val="Paragraphedeliste"/>
        <w:widowControl/>
        <w:numPr>
          <w:ilvl w:val="0"/>
          <w:numId w:val="13"/>
        </w:numPr>
        <w:autoSpaceDE/>
        <w:autoSpaceDN/>
        <w:adjustRightInd/>
        <w:spacing w:before="120" w:line="259" w:lineRule="auto"/>
      </w:pPr>
      <w:r w:rsidRPr="00143D8F">
        <w:t>L’acte d’engagement (</w:t>
      </w:r>
      <w:r>
        <w:t>formulaire ATTRI1) ;</w:t>
      </w:r>
    </w:p>
    <w:p w14:paraId="6B412B3E" w14:textId="77777777" w:rsidR="005C3281" w:rsidRDefault="005C3281" w:rsidP="00205AB7">
      <w:pPr>
        <w:pStyle w:val="Paragraphedeliste"/>
        <w:widowControl/>
        <w:numPr>
          <w:ilvl w:val="0"/>
          <w:numId w:val="13"/>
        </w:numPr>
        <w:autoSpaceDE/>
        <w:autoSpaceDN/>
        <w:adjustRightInd/>
        <w:spacing w:before="120" w:line="259" w:lineRule="auto"/>
      </w:pPr>
      <w:r>
        <w:t>L</w:t>
      </w:r>
      <w:r w:rsidRPr="00032FF0">
        <w:t xml:space="preserve">e </w:t>
      </w:r>
      <w:r>
        <w:t xml:space="preserve">présent </w:t>
      </w:r>
      <w:r w:rsidRPr="00032FF0">
        <w:t xml:space="preserve">cahier des clauses </w:t>
      </w:r>
      <w:r>
        <w:t xml:space="preserve">administratives </w:t>
      </w:r>
      <w:r w:rsidRPr="00032FF0">
        <w:t xml:space="preserve">particulières </w:t>
      </w:r>
      <w:r>
        <w:t xml:space="preserve">(CCAP) ; </w:t>
      </w:r>
    </w:p>
    <w:p w14:paraId="3E24D7BE" w14:textId="77777777" w:rsidR="005C3281" w:rsidRPr="00032FF0" w:rsidRDefault="005C3281" w:rsidP="00205AB7">
      <w:pPr>
        <w:pStyle w:val="Paragraphedeliste"/>
        <w:widowControl/>
        <w:numPr>
          <w:ilvl w:val="0"/>
          <w:numId w:val="13"/>
        </w:numPr>
        <w:autoSpaceDE/>
        <w:autoSpaceDN/>
        <w:adjustRightInd/>
        <w:spacing w:before="120" w:line="259" w:lineRule="auto"/>
      </w:pPr>
      <w:r>
        <w:t>Le cahier des clauses techniques particulières (CCTP) ;</w:t>
      </w:r>
    </w:p>
    <w:p w14:paraId="2675755B" w14:textId="77777777" w:rsidR="005C3281" w:rsidRDefault="005C3281" w:rsidP="00205AB7">
      <w:pPr>
        <w:pStyle w:val="Paragraphedeliste"/>
        <w:widowControl/>
        <w:numPr>
          <w:ilvl w:val="0"/>
          <w:numId w:val="13"/>
        </w:numPr>
        <w:autoSpaceDE/>
        <w:autoSpaceDN/>
        <w:adjustRightInd/>
        <w:spacing w:before="120" w:line="259" w:lineRule="auto"/>
      </w:pPr>
      <w:r>
        <w:t>L</w:t>
      </w:r>
      <w:r w:rsidRPr="00A36637">
        <w:t xml:space="preserve">e Cahier des Clauses Administratives Générales applicables aux marchés publics de </w:t>
      </w:r>
      <w:r>
        <w:t xml:space="preserve">fournitures courantes et de </w:t>
      </w:r>
      <w:r w:rsidRPr="003E0EF3">
        <w:t>services (CCAG-PI) dans sa version issue de l’arrêté du 30 mars 2021 (disponible sur le site internet du MINEFE :</w:t>
      </w:r>
      <w:r w:rsidRPr="00A36637">
        <w:t xml:space="preserve"> </w:t>
      </w:r>
      <w:hyperlink r:id="rId10" w:history="1">
        <w:r w:rsidRPr="009C752A">
          <w:rPr>
            <w:rStyle w:val="Lienhypertexte"/>
          </w:rPr>
          <w:t>https://www.legifrance.gouv.fr/jorf/id/JORFTEXT000043310613</w:t>
        </w:r>
      </w:hyperlink>
      <w:r w:rsidRPr="00A36637">
        <w:t>)</w:t>
      </w:r>
      <w:r>
        <w:t xml:space="preserve"> </w:t>
      </w:r>
      <w:r w:rsidRPr="00A36637">
        <w:t>;</w:t>
      </w:r>
    </w:p>
    <w:p w14:paraId="0323FC07" w14:textId="77777777" w:rsidR="005C3281" w:rsidRPr="00022786" w:rsidRDefault="005C3281" w:rsidP="00205AB7">
      <w:pPr>
        <w:pStyle w:val="Paragraphedeliste"/>
        <w:widowControl/>
        <w:numPr>
          <w:ilvl w:val="0"/>
          <w:numId w:val="13"/>
        </w:numPr>
        <w:autoSpaceDE/>
        <w:autoSpaceDN/>
        <w:adjustRightInd/>
        <w:spacing w:before="120" w:line="259" w:lineRule="auto"/>
      </w:pPr>
      <w:r>
        <w:t xml:space="preserve">Les annexes financières à l’acte d’engagement ; </w:t>
      </w:r>
      <w:r w:rsidRPr="00022786">
        <w:t xml:space="preserve"> </w:t>
      </w:r>
    </w:p>
    <w:p w14:paraId="16885576" w14:textId="77777777" w:rsidR="005C3281" w:rsidRDefault="005C3281" w:rsidP="00205AB7">
      <w:pPr>
        <w:pStyle w:val="Paragraphedeliste"/>
        <w:widowControl/>
        <w:numPr>
          <w:ilvl w:val="0"/>
          <w:numId w:val="13"/>
        </w:numPr>
        <w:autoSpaceDE/>
        <w:autoSpaceDN/>
        <w:adjustRightInd/>
        <w:spacing w:before="120" w:line="259" w:lineRule="auto"/>
      </w:pPr>
      <w:r>
        <w:t>L’offre</w:t>
      </w:r>
      <w:r w:rsidRPr="002E16FC">
        <w:t xml:space="preserve"> technique du </w:t>
      </w:r>
      <w:r>
        <w:t>Titulaire et ses annexes.</w:t>
      </w:r>
    </w:p>
    <w:p w14:paraId="0D05C1B9" w14:textId="0F6ECC71" w:rsidR="00987469" w:rsidRDefault="00143D8F" w:rsidP="00143D8F">
      <w:r>
        <w:t xml:space="preserve">L’exemplaire du </w:t>
      </w:r>
      <w:r w:rsidR="00EE4CE1">
        <w:t>Marché public</w:t>
      </w:r>
      <w:r>
        <w:t xml:space="preserve"> conservé par le CNC fait </w:t>
      </w:r>
      <w:r w:rsidR="00721F4A">
        <w:t>seule foi</w:t>
      </w:r>
      <w:r>
        <w:t xml:space="preserve">. </w:t>
      </w:r>
      <w:r w:rsidR="00987469">
        <w:t xml:space="preserve">Les conditions générales de vente du </w:t>
      </w:r>
      <w:r w:rsidR="008248CD">
        <w:t>Titulaire</w:t>
      </w:r>
      <w:r w:rsidR="00987469">
        <w:t xml:space="preserve"> sont inapplicables.</w:t>
      </w:r>
    </w:p>
    <w:p w14:paraId="4C4D12D5" w14:textId="77777777" w:rsidR="0006518C" w:rsidRPr="00392BE0" w:rsidRDefault="0006518C" w:rsidP="00392BE0">
      <w:pPr>
        <w:pStyle w:val="Titre1"/>
        <w:shd w:val="clear" w:color="auto" w:fill="auto"/>
      </w:pPr>
      <w:bookmarkStart w:id="21" w:name="_Toc454294022"/>
      <w:bookmarkStart w:id="22" w:name="_Toc202974791"/>
      <w:bookmarkStart w:id="23" w:name="_Toc202974792"/>
      <w:bookmarkStart w:id="24" w:name="_Toc202974793"/>
      <w:bookmarkStart w:id="25" w:name="_Toc202974794"/>
      <w:bookmarkStart w:id="26" w:name="_Toc202974795"/>
      <w:bookmarkStart w:id="27" w:name="_Toc202974796"/>
      <w:bookmarkStart w:id="28" w:name="_Toc202974797"/>
      <w:bookmarkStart w:id="29" w:name="_Toc202974798"/>
      <w:bookmarkStart w:id="30" w:name="_Toc202974799"/>
      <w:bookmarkStart w:id="31" w:name="_Toc202974800"/>
      <w:bookmarkStart w:id="32" w:name="_Toc202974801"/>
      <w:bookmarkStart w:id="33" w:name="_Toc202974802"/>
      <w:bookmarkStart w:id="34" w:name="_Toc202974803"/>
      <w:bookmarkStart w:id="35" w:name="_Toc202974804"/>
      <w:bookmarkStart w:id="36" w:name="_Toc202974805"/>
      <w:bookmarkStart w:id="37" w:name="_Toc202974806"/>
      <w:bookmarkStart w:id="38" w:name="_Toc202974807"/>
      <w:bookmarkStart w:id="39" w:name="_Toc202974808"/>
      <w:bookmarkStart w:id="40" w:name="_Toc202974809"/>
      <w:bookmarkStart w:id="41" w:name="_Toc202974810"/>
      <w:bookmarkStart w:id="42" w:name="_Toc202974811"/>
      <w:bookmarkStart w:id="43" w:name="_Toc202974812"/>
      <w:bookmarkStart w:id="44" w:name="_Toc202974813"/>
      <w:bookmarkStart w:id="45" w:name="_Toc202974814"/>
      <w:bookmarkStart w:id="46" w:name="_Toc202974815"/>
      <w:bookmarkStart w:id="47" w:name="_Toc202974816"/>
      <w:bookmarkStart w:id="48" w:name="_Toc202974817"/>
      <w:bookmarkStart w:id="49" w:name="_Toc202974818"/>
      <w:bookmarkStart w:id="50" w:name="_Toc202974819"/>
      <w:bookmarkStart w:id="51" w:name="_Toc202974820"/>
      <w:bookmarkStart w:id="52" w:name="_Toc202974821"/>
      <w:bookmarkStart w:id="53" w:name="_Toc202974822"/>
      <w:bookmarkStart w:id="54" w:name="_Toc202974823"/>
      <w:bookmarkStart w:id="55" w:name="_Toc202974824"/>
      <w:bookmarkStart w:id="56" w:name="_Toc202974825"/>
      <w:bookmarkStart w:id="57" w:name="_Toc202974826"/>
      <w:bookmarkStart w:id="58" w:name="_Toc202974827"/>
      <w:bookmarkStart w:id="59" w:name="_Toc202974828"/>
      <w:bookmarkStart w:id="60" w:name="_Toc202974829"/>
      <w:bookmarkStart w:id="61" w:name="_Toc202974830"/>
      <w:bookmarkStart w:id="62" w:name="_Toc202974831"/>
      <w:bookmarkStart w:id="63" w:name="_Toc202974832"/>
      <w:bookmarkStart w:id="64" w:name="_Toc202974833"/>
      <w:bookmarkStart w:id="65" w:name="_Toc202974834"/>
      <w:bookmarkStart w:id="66" w:name="_Toc202974835"/>
      <w:bookmarkStart w:id="67" w:name="_Toc202974836"/>
      <w:bookmarkStart w:id="68" w:name="_Toc202974837"/>
      <w:bookmarkStart w:id="69" w:name="_Toc202974838"/>
      <w:bookmarkStart w:id="70" w:name="_Toc202974839"/>
      <w:bookmarkStart w:id="71" w:name="_Toc202974840"/>
      <w:bookmarkStart w:id="72" w:name="_Toc202974841"/>
      <w:bookmarkStart w:id="73" w:name="_Toc202974842"/>
      <w:bookmarkStart w:id="74" w:name="_Toc202974843"/>
      <w:bookmarkStart w:id="75" w:name="_Toc202974844"/>
      <w:bookmarkStart w:id="76" w:name="_Toc202974845"/>
      <w:bookmarkStart w:id="77" w:name="_Toc202974846"/>
      <w:bookmarkStart w:id="78" w:name="_Toc202974847"/>
      <w:bookmarkStart w:id="79" w:name="_Toc202974848"/>
      <w:bookmarkStart w:id="80" w:name="_Toc202974849"/>
      <w:bookmarkStart w:id="81" w:name="_Toc202974850"/>
      <w:bookmarkStart w:id="82" w:name="_Toc202974851"/>
      <w:bookmarkStart w:id="83" w:name="_Toc202974852"/>
      <w:bookmarkStart w:id="84" w:name="_Toc202974853"/>
      <w:bookmarkStart w:id="85" w:name="_Toc202974854"/>
      <w:bookmarkStart w:id="86" w:name="_Toc202974855"/>
      <w:bookmarkStart w:id="87" w:name="_Toc202974856"/>
      <w:bookmarkStart w:id="88" w:name="_Toc202974857"/>
      <w:bookmarkStart w:id="89" w:name="_Toc202974858"/>
      <w:bookmarkStart w:id="90" w:name="_Toc202974859"/>
      <w:bookmarkStart w:id="91" w:name="_Toc202974860"/>
      <w:bookmarkStart w:id="92" w:name="_Toc202974861"/>
      <w:bookmarkStart w:id="93" w:name="_Toc202974862"/>
      <w:bookmarkStart w:id="94" w:name="_Toc202974863"/>
      <w:bookmarkStart w:id="95" w:name="_Toc202974864"/>
      <w:bookmarkStart w:id="96" w:name="_Toc202974865"/>
      <w:bookmarkStart w:id="97" w:name="_Toc202974866"/>
      <w:bookmarkStart w:id="98" w:name="_Toc202974867"/>
      <w:bookmarkStart w:id="99" w:name="_Toc202974868"/>
      <w:bookmarkStart w:id="100" w:name="_Toc202974869"/>
      <w:bookmarkStart w:id="101" w:name="_Toc202974870"/>
      <w:bookmarkStart w:id="102" w:name="_Toc202974871"/>
      <w:bookmarkStart w:id="103" w:name="_Toc202974872"/>
      <w:bookmarkStart w:id="104" w:name="_Toc202974873"/>
      <w:bookmarkStart w:id="105" w:name="_Toc202974874"/>
      <w:bookmarkStart w:id="106" w:name="_Toc202974875"/>
      <w:bookmarkStart w:id="107" w:name="_Toc202974876"/>
      <w:bookmarkStart w:id="108" w:name="_Toc202974877"/>
      <w:bookmarkStart w:id="109" w:name="_Toc202974878"/>
      <w:bookmarkStart w:id="110" w:name="_Toc202974879"/>
      <w:bookmarkStart w:id="111" w:name="_Toc202974880"/>
      <w:bookmarkStart w:id="112" w:name="_Toc202974881"/>
      <w:bookmarkStart w:id="113" w:name="_Toc202974882"/>
      <w:bookmarkStart w:id="114" w:name="_Toc202974883"/>
      <w:bookmarkStart w:id="115" w:name="_Toc202974884"/>
      <w:bookmarkStart w:id="116" w:name="_Toc202974885"/>
      <w:bookmarkStart w:id="117" w:name="_Toc202974886"/>
      <w:bookmarkStart w:id="118" w:name="_Toc202974887"/>
      <w:bookmarkStart w:id="119" w:name="_Toc202974888"/>
      <w:bookmarkStart w:id="120" w:name="_Toc202974889"/>
      <w:bookmarkStart w:id="121" w:name="_Toc202974890"/>
      <w:bookmarkStart w:id="122" w:name="_Toc202974891"/>
      <w:bookmarkStart w:id="123" w:name="_Toc202974892"/>
      <w:bookmarkStart w:id="124" w:name="_Toc202974893"/>
      <w:bookmarkStart w:id="125" w:name="_Toc202974894"/>
      <w:bookmarkStart w:id="126" w:name="_Toc202974895"/>
      <w:bookmarkStart w:id="127" w:name="_Toc202974896"/>
      <w:bookmarkStart w:id="128" w:name="_Toc202974897"/>
      <w:bookmarkStart w:id="129" w:name="_Toc202974898"/>
      <w:bookmarkStart w:id="130" w:name="_Toc202974899"/>
      <w:bookmarkStart w:id="131" w:name="_Toc202974900"/>
      <w:bookmarkStart w:id="132" w:name="_Toc202974901"/>
      <w:bookmarkStart w:id="133" w:name="_Toc202974902"/>
      <w:bookmarkStart w:id="134" w:name="_Toc202974903"/>
      <w:bookmarkStart w:id="135" w:name="_Toc202974904"/>
      <w:bookmarkStart w:id="136" w:name="_Toc202974905"/>
      <w:bookmarkStart w:id="137" w:name="_Toc202974906"/>
      <w:bookmarkStart w:id="138" w:name="_Toc202974907"/>
      <w:bookmarkStart w:id="139" w:name="_Toc202974908"/>
      <w:bookmarkStart w:id="140" w:name="_Toc202974909"/>
      <w:bookmarkStart w:id="141" w:name="_Toc202974910"/>
      <w:bookmarkStart w:id="142" w:name="_Toc202974911"/>
      <w:bookmarkStart w:id="143" w:name="_Toc202974912"/>
      <w:bookmarkStart w:id="144" w:name="_Toc202974913"/>
      <w:bookmarkStart w:id="145" w:name="_Toc202974914"/>
      <w:bookmarkStart w:id="146" w:name="_Toc202974915"/>
      <w:bookmarkStart w:id="147" w:name="_Toc202974916"/>
      <w:bookmarkStart w:id="148" w:name="_Toc202974917"/>
      <w:bookmarkStart w:id="149" w:name="_Toc202974918"/>
      <w:bookmarkStart w:id="150" w:name="_Toc202974919"/>
      <w:bookmarkStart w:id="151" w:name="_Toc202974920"/>
      <w:bookmarkStart w:id="152" w:name="_Toc202974921"/>
      <w:bookmarkStart w:id="153" w:name="_Toc202974922"/>
      <w:bookmarkStart w:id="154" w:name="_Toc202974923"/>
      <w:bookmarkStart w:id="155" w:name="_Toc202974924"/>
      <w:bookmarkStart w:id="156" w:name="_Toc202974925"/>
      <w:bookmarkStart w:id="157" w:name="_Toc202974926"/>
      <w:bookmarkStart w:id="158" w:name="_Toc202974927"/>
      <w:bookmarkStart w:id="159" w:name="_Toc220490781"/>
      <w:bookmarkStart w:id="160" w:name="_Toc448150218"/>
      <w:bookmarkStart w:id="161" w:name="_Toc448150223"/>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392BE0">
        <w:t>CONDITIONS D’EXECUTION</w:t>
      </w:r>
      <w:bookmarkEnd w:id="159"/>
      <w:r w:rsidRPr="00392BE0">
        <w:t xml:space="preserve"> </w:t>
      </w:r>
      <w:bookmarkEnd w:id="160"/>
    </w:p>
    <w:p w14:paraId="43D85B22" w14:textId="33DDD2AF" w:rsidR="00C71117" w:rsidRPr="003B07B6" w:rsidRDefault="00FD5B90" w:rsidP="003B07B6">
      <w:pPr>
        <w:pStyle w:val="Titre2"/>
      </w:pPr>
      <w:bookmarkStart w:id="162" w:name="_Toc220490782"/>
      <w:r w:rsidRPr="003B07B6">
        <w:t>Passation des commandes</w:t>
      </w:r>
      <w:bookmarkEnd w:id="162"/>
    </w:p>
    <w:p w14:paraId="5E2CF474" w14:textId="77777777" w:rsidR="00960834" w:rsidRPr="00392BE0" w:rsidRDefault="00960834" w:rsidP="00392BE0">
      <w:pPr>
        <w:pStyle w:val="Titre3"/>
      </w:pPr>
      <w:r w:rsidRPr="00392BE0">
        <w:t>Modalités d’émission des commandes</w:t>
      </w:r>
    </w:p>
    <w:p w14:paraId="4668698B" w14:textId="162C2A20" w:rsidR="005D2DF4" w:rsidRPr="005D2DF4" w:rsidRDefault="00C71117" w:rsidP="005D2DF4">
      <w:pPr>
        <w:rPr>
          <w:rFonts w:cs="Times New Roman"/>
        </w:rPr>
      </w:pPr>
      <w:r w:rsidRPr="00392BE0">
        <w:rPr>
          <w:rFonts w:cs="Times New Roman"/>
        </w:rPr>
        <w:t>Le</w:t>
      </w:r>
      <w:bookmarkStart w:id="163" w:name="_Toc326330572"/>
      <w:r w:rsidR="005D2DF4" w:rsidRPr="005D2DF4">
        <w:rPr>
          <w:rFonts w:cs="Times New Roman"/>
        </w:rPr>
        <w:t xml:space="preserve"> présent Marché public s’exécute au moyen de bons de commande émis au fur et à mesure des besoins et notifiés au titulaire.</w:t>
      </w:r>
    </w:p>
    <w:p w14:paraId="2EA5CC71" w14:textId="77777777" w:rsidR="005D2DF4" w:rsidRPr="005D2DF4" w:rsidRDefault="005D2DF4" w:rsidP="005D2DF4">
      <w:pPr>
        <w:rPr>
          <w:rFonts w:cs="Times New Roman"/>
        </w:rPr>
      </w:pPr>
      <w:r w:rsidRPr="005D2DF4">
        <w:rPr>
          <w:rFonts w:cs="Times New Roman"/>
        </w:rPr>
        <w:t xml:space="preserve">Chaque bon de commande comporte les informations suivantes : </w:t>
      </w:r>
    </w:p>
    <w:p w14:paraId="29A0E7D0" w14:textId="77777777" w:rsidR="005D2DF4" w:rsidRPr="005D2DF4" w:rsidRDefault="005D2DF4" w:rsidP="005D2DF4">
      <w:pPr>
        <w:numPr>
          <w:ilvl w:val="0"/>
          <w:numId w:val="15"/>
        </w:numPr>
        <w:rPr>
          <w:rFonts w:cs="Times New Roman"/>
        </w:rPr>
      </w:pPr>
      <w:proofErr w:type="gramStart"/>
      <w:r w:rsidRPr="005D2DF4">
        <w:rPr>
          <w:rFonts w:cs="Times New Roman"/>
        </w:rPr>
        <w:t>la</w:t>
      </w:r>
      <w:proofErr w:type="gramEnd"/>
      <w:r w:rsidRPr="005D2DF4">
        <w:rPr>
          <w:rFonts w:cs="Times New Roman"/>
        </w:rPr>
        <w:t xml:space="preserve"> référence du Marché public (numéro et date de notification) ;</w:t>
      </w:r>
    </w:p>
    <w:p w14:paraId="1CE9EB75" w14:textId="77777777" w:rsidR="005D2DF4" w:rsidRPr="005D2DF4" w:rsidRDefault="005D2DF4" w:rsidP="005D2DF4">
      <w:pPr>
        <w:numPr>
          <w:ilvl w:val="0"/>
          <w:numId w:val="15"/>
        </w:numPr>
        <w:rPr>
          <w:rFonts w:cs="Times New Roman"/>
        </w:rPr>
      </w:pPr>
      <w:proofErr w:type="gramStart"/>
      <w:r w:rsidRPr="005D2DF4">
        <w:rPr>
          <w:rFonts w:cs="Times New Roman"/>
        </w:rPr>
        <w:t>le</w:t>
      </w:r>
      <w:proofErr w:type="gramEnd"/>
      <w:r w:rsidRPr="005D2DF4">
        <w:rPr>
          <w:rFonts w:cs="Times New Roman"/>
        </w:rPr>
        <w:t xml:space="preserve"> numéro et la date d’émission de la commande ;</w:t>
      </w:r>
    </w:p>
    <w:p w14:paraId="54FAB9A0" w14:textId="77777777" w:rsidR="005D2DF4" w:rsidRPr="005D2DF4" w:rsidRDefault="005D2DF4" w:rsidP="005D2DF4">
      <w:pPr>
        <w:numPr>
          <w:ilvl w:val="0"/>
          <w:numId w:val="15"/>
        </w:numPr>
        <w:rPr>
          <w:rFonts w:cs="Times New Roman"/>
        </w:rPr>
      </w:pPr>
      <w:proofErr w:type="gramStart"/>
      <w:r w:rsidRPr="005D2DF4">
        <w:rPr>
          <w:rFonts w:cs="Times New Roman"/>
        </w:rPr>
        <w:t>le</w:t>
      </w:r>
      <w:proofErr w:type="gramEnd"/>
      <w:r w:rsidRPr="005D2DF4">
        <w:rPr>
          <w:rFonts w:cs="Times New Roman"/>
        </w:rPr>
        <w:t xml:space="preserve"> nom et l’adresse de la personne publique et indication de la direction et du service concernés ; </w:t>
      </w:r>
    </w:p>
    <w:p w14:paraId="31B00BF6" w14:textId="77777777" w:rsidR="005D2DF4" w:rsidRPr="005D2DF4" w:rsidRDefault="005D2DF4" w:rsidP="005D2DF4">
      <w:pPr>
        <w:numPr>
          <w:ilvl w:val="0"/>
          <w:numId w:val="15"/>
        </w:numPr>
        <w:rPr>
          <w:rFonts w:cs="Times New Roman"/>
        </w:rPr>
      </w:pPr>
      <w:proofErr w:type="gramStart"/>
      <w:r w:rsidRPr="005D2DF4">
        <w:rPr>
          <w:rFonts w:cs="Times New Roman"/>
        </w:rPr>
        <w:t>les</w:t>
      </w:r>
      <w:proofErr w:type="gramEnd"/>
      <w:r w:rsidRPr="005D2DF4">
        <w:rPr>
          <w:rFonts w:cs="Times New Roman"/>
        </w:rPr>
        <w:t xml:space="preserve"> prestations demandées ;</w:t>
      </w:r>
    </w:p>
    <w:p w14:paraId="49C7B83B" w14:textId="77777777" w:rsidR="005D2DF4" w:rsidRPr="005D2DF4" w:rsidRDefault="005D2DF4" w:rsidP="005D2DF4">
      <w:pPr>
        <w:numPr>
          <w:ilvl w:val="0"/>
          <w:numId w:val="15"/>
        </w:numPr>
        <w:rPr>
          <w:rFonts w:cs="Times New Roman"/>
        </w:rPr>
      </w:pPr>
      <w:proofErr w:type="gramStart"/>
      <w:r w:rsidRPr="005D2DF4">
        <w:rPr>
          <w:rFonts w:cs="Times New Roman"/>
        </w:rPr>
        <w:t>les</w:t>
      </w:r>
      <w:proofErr w:type="gramEnd"/>
      <w:r w:rsidRPr="005D2DF4">
        <w:rPr>
          <w:rFonts w:cs="Times New Roman"/>
        </w:rPr>
        <w:t xml:space="preserve"> quantités ;</w:t>
      </w:r>
    </w:p>
    <w:p w14:paraId="0DF37D70" w14:textId="77777777" w:rsidR="005D2DF4" w:rsidRPr="005D2DF4" w:rsidRDefault="005D2DF4" w:rsidP="005D2DF4">
      <w:pPr>
        <w:numPr>
          <w:ilvl w:val="0"/>
          <w:numId w:val="15"/>
        </w:numPr>
        <w:rPr>
          <w:rFonts w:cs="Times New Roman"/>
        </w:rPr>
      </w:pPr>
      <w:proofErr w:type="gramStart"/>
      <w:r w:rsidRPr="005D2DF4">
        <w:rPr>
          <w:rFonts w:cs="Times New Roman"/>
        </w:rPr>
        <w:t>le</w:t>
      </w:r>
      <w:proofErr w:type="gramEnd"/>
      <w:r w:rsidRPr="005D2DF4">
        <w:rPr>
          <w:rFonts w:cs="Times New Roman"/>
        </w:rPr>
        <w:t>(s) prix unitaire applicable(s) ;</w:t>
      </w:r>
    </w:p>
    <w:p w14:paraId="511FE889" w14:textId="77777777" w:rsidR="005D2DF4" w:rsidRPr="005D2DF4" w:rsidRDefault="005D2DF4" w:rsidP="005D2DF4">
      <w:pPr>
        <w:numPr>
          <w:ilvl w:val="0"/>
          <w:numId w:val="15"/>
        </w:numPr>
        <w:rPr>
          <w:rFonts w:cs="Times New Roman"/>
        </w:rPr>
      </w:pPr>
      <w:proofErr w:type="gramStart"/>
      <w:r w:rsidRPr="005D2DF4">
        <w:rPr>
          <w:rFonts w:cs="Times New Roman"/>
        </w:rPr>
        <w:t>le</w:t>
      </w:r>
      <w:proofErr w:type="gramEnd"/>
      <w:r w:rsidRPr="005D2DF4">
        <w:rPr>
          <w:rFonts w:cs="Times New Roman"/>
        </w:rPr>
        <w:t xml:space="preserve"> coût total en €HT et en €TTC de la prestation ;</w:t>
      </w:r>
    </w:p>
    <w:p w14:paraId="5028A81C" w14:textId="77777777" w:rsidR="005D2DF4" w:rsidRPr="005D2DF4" w:rsidRDefault="005D2DF4" w:rsidP="005D2DF4">
      <w:pPr>
        <w:numPr>
          <w:ilvl w:val="0"/>
          <w:numId w:val="15"/>
        </w:numPr>
        <w:rPr>
          <w:rFonts w:cs="Times New Roman"/>
        </w:rPr>
      </w:pPr>
      <w:proofErr w:type="gramStart"/>
      <w:r w:rsidRPr="005D2DF4">
        <w:rPr>
          <w:rFonts w:cs="Times New Roman"/>
        </w:rPr>
        <w:t>les</w:t>
      </w:r>
      <w:proofErr w:type="gramEnd"/>
      <w:r w:rsidRPr="005D2DF4">
        <w:rPr>
          <w:rFonts w:cs="Times New Roman"/>
        </w:rPr>
        <w:t xml:space="preserve"> conditions particulières d’exécution, le cas échéant.</w:t>
      </w:r>
    </w:p>
    <w:p w14:paraId="42C619EE" w14:textId="77777777" w:rsidR="005D2DF4" w:rsidRPr="005D2DF4" w:rsidRDefault="005D2DF4" w:rsidP="005D2DF4">
      <w:pPr>
        <w:rPr>
          <w:rFonts w:cs="Times New Roman"/>
        </w:rPr>
      </w:pPr>
      <w:r w:rsidRPr="005D2DF4">
        <w:rPr>
          <w:rFonts w:cs="Times New Roman"/>
        </w:rPr>
        <w:t>Les bons de commandes peuvent être émis jusqu’au dernier jour de validité du Marché public.</w:t>
      </w:r>
    </w:p>
    <w:p w14:paraId="7608A7AC" w14:textId="44DD9E8C" w:rsidR="00141C7B" w:rsidRDefault="005D2DF4" w:rsidP="005D2DF4">
      <w:pPr>
        <w:rPr>
          <w:spacing w:val="-2"/>
        </w:rPr>
      </w:pPr>
      <w:r w:rsidRPr="005D2DF4">
        <w:rPr>
          <w:rFonts w:cs="Times New Roman"/>
        </w:rPr>
        <w:t>L’exécution des prestations peut se prolonger pendant une période de 6 mois après la fin du Marché public</w:t>
      </w:r>
      <w:r w:rsidR="00C71117" w:rsidRPr="00392BE0">
        <w:rPr>
          <w:spacing w:val="-2"/>
        </w:rPr>
        <w:t>.</w:t>
      </w:r>
      <w:bookmarkEnd w:id="163"/>
    </w:p>
    <w:p w14:paraId="1843E4AB" w14:textId="5673AF00" w:rsidR="00FD5B90" w:rsidRPr="00FD5B90" w:rsidRDefault="00FD5B90" w:rsidP="00FD5B90">
      <w:pPr>
        <w:pStyle w:val="Titre3"/>
      </w:pPr>
      <w:r w:rsidRPr="00FD5B90">
        <w:lastRenderedPageBreak/>
        <w:t>Préalable à la passation des commandes</w:t>
      </w:r>
    </w:p>
    <w:p w14:paraId="4918FE6A" w14:textId="1793FCD9" w:rsidR="00F032AB" w:rsidRDefault="00F032AB" w:rsidP="00FD5B90">
      <w:pPr>
        <w:widowControl/>
        <w:autoSpaceDE/>
        <w:autoSpaceDN/>
        <w:adjustRightInd/>
        <w:spacing w:before="108"/>
        <w:ind w:right="49"/>
        <w:rPr>
          <w:spacing w:val="-2"/>
        </w:rPr>
      </w:pPr>
      <w:r>
        <w:rPr>
          <w:spacing w:val="-2"/>
        </w:rPr>
        <w:t>Avant de passer une commande, le CNC</w:t>
      </w:r>
      <w:r w:rsidR="00A73C0F">
        <w:rPr>
          <w:spacing w:val="-2"/>
        </w:rPr>
        <w:t xml:space="preserve"> </w:t>
      </w:r>
      <w:r w:rsidR="00EE0478">
        <w:rPr>
          <w:spacing w:val="-2"/>
        </w:rPr>
        <w:t xml:space="preserve">transmet </w:t>
      </w:r>
      <w:r w:rsidR="00A73C0F">
        <w:rPr>
          <w:spacing w:val="-2"/>
        </w:rPr>
        <w:t>au titulaire classé 1</w:t>
      </w:r>
      <w:r w:rsidR="00A73C0F" w:rsidRPr="00D551EA">
        <w:rPr>
          <w:spacing w:val="-2"/>
          <w:vertAlign w:val="superscript"/>
        </w:rPr>
        <w:t>er</w:t>
      </w:r>
      <w:r w:rsidR="00A73C0F">
        <w:rPr>
          <w:spacing w:val="-2"/>
        </w:rPr>
        <w:t xml:space="preserve"> au terme de l’analyse des </w:t>
      </w:r>
      <w:r w:rsidR="00D551EA">
        <w:rPr>
          <w:spacing w:val="-2"/>
        </w:rPr>
        <w:t xml:space="preserve">offres </w:t>
      </w:r>
      <w:r>
        <w:rPr>
          <w:spacing w:val="-2"/>
        </w:rPr>
        <w:t>la liste des œuvres dont il envisage de lui confier l’audit.</w:t>
      </w:r>
    </w:p>
    <w:p w14:paraId="1FE75D5F" w14:textId="1EF73C5C" w:rsidR="00F032AB" w:rsidRDefault="00F032AB" w:rsidP="00FD5B90">
      <w:pPr>
        <w:widowControl/>
        <w:autoSpaceDE/>
        <w:autoSpaceDN/>
        <w:adjustRightInd/>
        <w:spacing w:before="108"/>
        <w:ind w:right="49"/>
        <w:rPr>
          <w:spacing w:val="-2"/>
        </w:rPr>
      </w:pPr>
      <w:r>
        <w:rPr>
          <w:spacing w:val="-2"/>
        </w:rPr>
        <w:t xml:space="preserve">A la suite de </w:t>
      </w:r>
      <w:r w:rsidR="00EE0478">
        <w:rPr>
          <w:spacing w:val="-2"/>
        </w:rPr>
        <w:t>cet</w:t>
      </w:r>
      <w:r w:rsidR="00D551EA">
        <w:rPr>
          <w:spacing w:val="-2"/>
        </w:rPr>
        <w:t>te</w:t>
      </w:r>
      <w:r w:rsidR="00EE0478">
        <w:rPr>
          <w:spacing w:val="-2"/>
        </w:rPr>
        <w:t xml:space="preserve"> </w:t>
      </w:r>
      <w:r>
        <w:rPr>
          <w:spacing w:val="-2"/>
        </w:rPr>
        <w:t xml:space="preserve">demande, le titulaire informe le CNC </w:t>
      </w:r>
      <w:r w:rsidR="00A73C0F">
        <w:rPr>
          <w:spacing w:val="-2"/>
        </w:rPr>
        <w:t xml:space="preserve">par </w:t>
      </w:r>
      <w:r w:rsidR="008A5118">
        <w:rPr>
          <w:spacing w:val="-2"/>
        </w:rPr>
        <w:t>courrier,</w:t>
      </w:r>
      <w:r w:rsidR="00A73C0F">
        <w:rPr>
          <w:spacing w:val="-2"/>
        </w:rPr>
        <w:t xml:space="preserve"> </w:t>
      </w:r>
      <w:r>
        <w:rPr>
          <w:spacing w:val="-2"/>
        </w:rPr>
        <w:t xml:space="preserve">dans </w:t>
      </w:r>
      <w:proofErr w:type="gramStart"/>
      <w:r>
        <w:rPr>
          <w:spacing w:val="-2"/>
        </w:rPr>
        <w:t xml:space="preserve">un délai de </w:t>
      </w:r>
      <w:r w:rsidR="005F0D06">
        <w:rPr>
          <w:spacing w:val="-2"/>
        </w:rPr>
        <w:t>5</w:t>
      </w:r>
      <w:r>
        <w:rPr>
          <w:spacing w:val="-2"/>
        </w:rPr>
        <w:t xml:space="preserve"> jours</w:t>
      </w:r>
      <w:r w:rsidR="00A73C0F">
        <w:rPr>
          <w:spacing w:val="-2"/>
        </w:rPr>
        <w:t xml:space="preserve"> ouvrés</w:t>
      </w:r>
      <w:proofErr w:type="gramEnd"/>
      <w:r>
        <w:rPr>
          <w:spacing w:val="-2"/>
        </w:rPr>
        <w:t>, de sa capacité à prendre en charge les œuvres listé</w:t>
      </w:r>
      <w:r w:rsidR="009F4EB4">
        <w:rPr>
          <w:spacing w:val="-2"/>
        </w:rPr>
        <w:t>e</w:t>
      </w:r>
      <w:r>
        <w:rPr>
          <w:spacing w:val="-2"/>
        </w:rPr>
        <w:t>s</w:t>
      </w:r>
      <w:r w:rsidR="00EE0478">
        <w:rPr>
          <w:spacing w:val="-2"/>
        </w:rPr>
        <w:t>,</w:t>
      </w:r>
      <w:r>
        <w:rPr>
          <w:spacing w:val="-2"/>
        </w:rPr>
        <w:t xml:space="preserve"> </w:t>
      </w:r>
      <w:r w:rsidR="00A73C0F">
        <w:rPr>
          <w:spacing w:val="-2"/>
        </w:rPr>
        <w:t xml:space="preserve">dans les conditions suivantes : </w:t>
      </w:r>
    </w:p>
    <w:p w14:paraId="14C5A9D6" w14:textId="1C7C18D3" w:rsidR="00A73C0F" w:rsidRPr="00A73C0F" w:rsidRDefault="00A73C0F" w:rsidP="00205AB7">
      <w:pPr>
        <w:pStyle w:val="Paragraphedeliste"/>
        <w:widowControl/>
        <w:numPr>
          <w:ilvl w:val="0"/>
          <w:numId w:val="8"/>
        </w:numPr>
        <w:autoSpaceDE/>
        <w:autoSpaceDN/>
        <w:adjustRightInd/>
        <w:spacing w:before="108"/>
        <w:ind w:right="49"/>
        <w:rPr>
          <w:spacing w:val="-2"/>
        </w:rPr>
      </w:pPr>
      <w:proofErr w:type="gramStart"/>
      <w:r>
        <w:rPr>
          <w:spacing w:val="-2"/>
        </w:rPr>
        <w:t>l</w:t>
      </w:r>
      <w:r w:rsidRPr="00A73C0F">
        <w:rPr>
          <w:spacing w:val="-2"/>
        </w:rPr>
        <w:t>e</w:t>
      </w:r>
      <w:proofErr w:type="gramEnd"/>
      <w:r w:rsidRPr="00A73C0F">
        <w:rPr>
          <w:spacing w:val="-2"/>
        </w:rPr>
        <w:t xml:space="preserve"> titulaire doit refuser la prise en charge des œuvres pour lesquel</w:t>
      </w:r>
      <w:r>
        <w:rPr>
          <w:spacing w:val="-2"/>
        </w:rPr>
        <w:t>le</w:t>
      </w:r>
      <w:r w:rsidRPr="00A73C0F">
        <w:rPr>
          <w:spacing w:val="-2"/>
        </w:rPr>
        <w:t>s il se trouve dans une situation de conflit d’intérêt</w:t>
      </w:r>
      <w:r>
        <w:rPr>
          <w:spacing w:val="-2"/>
        </w:rPr>
        <w:t> ;</w:t>
      </w:r>
    </w:p>
    <w:p w14:paraId="5CEE1816" w14:textId="4CFBBC85" w:rsidR="00A73C0F" w:rsidRPr="00D10973" w:rsidRDefault="00A73C0F" w:rsidP="00205AB7">
      <w:pPr>
        <w:pStyle w:val="Paragraphedeliste"/>
        <w:widowControl/>
        <w:numPr>
          <w:ilvl w:val="0"/>
          <w:numId w:val="8"/>
        </w:numPr>
        <w:autoSpaceDE/>
        <w:autoSpaceDN/>
        <w:adjustRightInd/>
        <w:spacing w:before="108"/>
        <w:ind w:right="49"/>
        <w:rPr>
          <w:spacing w:val="-2"/>
        </w:rPr>
      </w:pPr>
      <w:proofErr w:type="gramStart"/>
      <w:r w:rsidRPr="00D10973">
        <w:rPr>
          <w:spacing w:val="-2"/>
        </w:rPr>
        <w:t>le</w:t>
      </w:r>
      <w:proofErr w:type="gramEnd"/>
      <w:r w:rsidRPr="00D10973">
        <w:rPr>
          <w:spacing w:val="-2"/>
        </w:rPr>
        <w:t xml:space="preserve"> titulaire peut refuser de prendre en charge une </w:t>
      </w:r>
      <w:r w:rsidR="00D551EA" w:rsidRPr="00D10973">
        <w:rPr>
          <w:spacing w:val="-2"/>
        </w:rPr>
        <w:t xml:space="preserve">ou plusieurs </w:t>
      </w:r>
      <w:r w:rsidRPr="00D10973">
        <w:rPr>
          <w:spacing w:val="-2"/>
        </w:rPr>
        <w:t>œuvre</w:t>
      </w:r>
      <w:r w:rsidR="00D551EA" w:rsidRPr="00D10973">
        <w:rPr>
          <w:spacing w:val="-2"/>
        </w:rPr>
        <w:t>s</w:t>
      </w:r>
      <w:r w:rsidRPr="00D10973">
        <w:rPr>
          <w:spacing w:val="-2"/>
        </w:rPr>
        <w:t xml:space="preserve"> </w:t>
      </w:r>
      <w:r w:rsidR="00D551EA" w:rsidRPr="00D10973">
        <w:rPr>
          <w:spacing w:val="-2"/>
        </w:rPr>
        <w:t xml:space="preserve">pour des </w:t>
      </w:r>
      <w:r w:rsidRPr="00D10973">
        <w:rPr>
          <w:spacing w:val="-2"/>
        </w:rPr>
        <w:t>raison</w:t>
      </w:r>
      <w:r w:rsidR="00D551EA" w:rsidRPr="00D10973">
        <w:rPr>
          <w:spacing w:val="-2"/>
        </w:rPr>
        <w:t>s</w:t>
      </w:r>
      <w:r w:rsidRPr="00D10973">
        <w:rPr>
          <w:spacing w:val="-2"/>
        </w:rPr>
        <w:t xml:space="preserve"> </w:t>
      </w:r>
      <w:proofErr w:type="gramStart"/>
      <w:r w:rsidRPr="00D10973">
        <w:rPr>
          <w:spacing w:val="-2"/>
        </w:rPr>
        <w:t>de  capacité</w:t>
      </w:r>
      <w:proofErr w:type="gramEnd"/>
      <w:r w:rsidR="00EE0478" w:rsidRPr="00D10973">
        <w:rPr>
          <w:spacing w:val="-2"/>
        </w:rPr>
        <w:t>,</w:t>
      </w:r>
      <w:r w:rsidRPr="00D10973">
        <w:rPr>
          <w:spacing w:val="-2"/>
        </w:rPr>
        <w:t xml:space="preserve"> dans les conditions défini</w:t>
      </w:r>
      <w:r w:rsidR="008A5118" w:rsidRPr="00D10973">
        <w:rPr>
          <w:spacing w:val="-2"/>
        </w:rPr>
        <w:t>e</w:t>
      </w:r>
      <w:r w:rsidRPr="00D10973">
        <w:rPr>
          <w:spacing w:val="-2"/>
        </w:rPr>
        <w:t xml:space="preserve">s à l’article </w:t>
      </w:r>
      <w:r w:rsidR="00D10973" w:rsidRPr="00D10973">
        <w:rPr>
          <w:spacing w:val="-2"/>
        </w:rPr>
        <w:t>5</w:t>
      </w:r>
      <w:r w:rsidRPr="00D10973">
        <w:rPr>
          <w:spacing w:val="-2"/>
        </w:rPr>
        <w:t xml:space="preserve">.1.4 du </w:t>
      </w:r>
      <w:r w:rsidR="00D10973" w:rsidRPr="00D10973">
        <w:rPr>
          <w:spacing w:val="-2"/>
        </w:rPr>
        <w:t xml:space="preserve">présent </w:t>
      </w:r>
      <w:r w:rsidRPr="00D10973">
        <w:rPr>
          <w:spacing w:val="-2"/>
        </w:rPr>
        <w:t>CC</w:t>
      </w:r>
      <w:r w:rsidR="00D10973" w:rsidRPr="00D10973">
        <w:rPr>
          <w:spacing w:val="-2"/>
        </w:rPr>
        <w:t>A</w:t>
      </w:r>
      <w:r w:rsidRPr="00D10973">
        <w:rPr>
          <w:spacing w:val="-2"/>
        </w:rPr>
        <w:t>P.</w:t>
      </w:r>
    </w:p>
    <w:p w14:paraId="13630D3F" w14:textId="378A9B51" w:rsidR="00F032AB" w:rsidRDefault="00F032AB" w:rsidP="00FD5B90">
      <w:pPr>
        <w:widowControl/>
        <w:autoSpaceDE/>
        <w:autoSpaceDN/>
        <w:adjustRightInd/>
        <w:spacing w:before="108"/>
        <w:ind w:right="49"/>
        <w:rPr>
          <w:spacing w:val="-2"/>
        </w:rPr>
      </w:pPr>
      <w:r>
        <w:rPr>
          <w:spacing w:val="-2"/>
        </w:rPr>
        <w:t>Le courrier précise pour chaque œuvre si le Titulaire est ou non en situation de conflit d’intérêt et s’il est dans la capacité de prendre en charge la commande.</w:t>
      </w:r>
    </w:p>
    <w:p w14:paraId="5B754332" w14:textId="3763E095" w:rsidR="00F032AB" w:rsidRDefault="00F032AB" w:rsidP="00FD5B90">
      <w:pPr>
        <w:widowControl/>
        <w:autoSpaceDE/>
        <w:autoSpaceDN/>
        <w:adjustRightInd/>
        <w:spacing w:before="108"/>
        <w:ind w:right="49"/>
        <w:rPr>
          <w:spacing w:val="-2"/>
        </w:rPr>
      </w:pPr>
      <w:r>
        <w:rPr>
          <w:spacing w:val="-2"/>
        </w:rPr>
        <w:t xml:space="preserve">Dans le cas </w:t>
      </w:r>
      <w:r w:rsidR="005F0D06">
        <w:rPr>
          <w:spacing w:val="-2"/>
        </w:rPr>
        <w:t>où</w:t>
      </w:r>
      <w:r>
        <w:rPr>
          <w:spacing w:val="-2"/>
        </w:rPr>
        <w:t xml:space="preserve"> le titulaire ne peut prendre en charge certaines des œuvres listées, le titulaire suivant dans l’ordre de classement est sollicité pour les œuvres restantes. Si le second titulaire est également dans l’incapacité de prendre en charge certaines des œuvres listées, </w:t>
      </w:r>
      <w:r w:rsidR="009F4EB4">
        <w:rPr>
          <w:spacing w:val="-2"/>
        </w:rPr>
        <w:t xml:space="preserve">le CNC </w:t>
      </w:r>
      <w:r>
        <w:rPr>
          <w:spacing w:val="-2"/>
        </w:rPr>
        <w:t xml:space="preserve">fait appel au candidat suivant et ainsi de suite. </w:t>
      </w:r>
    </w:p>
    <w:p w14:paraId="451562A0" w14:textId="4E67BBDA" w:rsidR="00960834" w:rsidRPr="00392BE0" w:rsidRDefault="00F032AB" w:rsidP="00F032AB">
      <w:pPr>
        <w:pStyle w:val="Titre3"/>
      </w:pPr>
      <w:r w:rsidRPr="00F032AB">
        <w:t xml:space="preserve"> </w:t>
      </w:r>
      <w:r w:rsidR="00960834" w:rsidRPr="00392BE0">
        <w:t>Modalités d’attribution des commandes</w:t>
      </w:r>
    </w:p>
    <w:p w14:paraId="27D3F069" w14:textId="748C555D" w:rsidR="00467B5E" w:rsidRDefault="00960834" w:rsidP="00392BE0">
      <w:pPr>
        <w:rPr>
          <w:rFonts w:cs="Times New Roman"/>
        </w:rPr>
      </w:pPr>
      <w:r w:rsidRPr="00392BE0">
        <w:rPr>
          <w:rFonts w:cs="Times New Roman"/>
        </w:rPr>
        <w:t>Les bons de commandes sont attribués</w:t>
      </w:r>
      <w:r w:rsidR="00A73C0F">
        <w:rPr>
          <w:rFonts w:cs="Times New Roman"/>
        </w:rPr>
        <w:t xml:space="preserve"> </w:t>
      </w:r>
      <w:r w:rsidRPr="00392BE0">
        <w:rPr>
          <w:rFonts w:cs="Times New Roman"/>
        </w:rPr>
        <w:t>en cascade</w:t>
      </w:r>
      <w:r w:rsidR="0063605B">
        <w:rPr>
          <w:rFonts w:cs="Times New Roman"/>
        </w:rPr>
        <w:t xml:space="preserve"> dans les conditions suivantes</w:t>
      </w:r>
      <w:r w:rsidRPr="00392BE0">
        <w:rPr>
          <w:rFonts w:cs="Times New Roman"/>
        </w:rPr>
        <w:t>.</w:t>
      </w:r>
    </w:p>
    <w:p w14:paraId="607578C1" w14:textId="65D848E5" w:rsidR="00960834" w:rsidRDefault="0063605B" w:rsidP="00392BE0">
      <w:pPr>
        <w:rPr>
          <w:rFonts w:cs="Times New Roman"/>
        </w:rPr>
      </w:pPr>
      <w:r>
        <w:rPr>
          <w:rFonts w:cs="Times New Roman"/>
        </w:rPr>
        <w:t>L</w:t>
      </w:r>
      <w:r w:rsidR="00960834" w:rsidRPr="00392BE0">
        <w:rPr>
          <w:rFonts w:cs="Times New Roman"/>
        </w:rPr>
        <w:t>e CNC fait en priorité appel</w:t>
      </w:r>
      <w:r w:rsidR="00467B5E">
        <w:rPr>
          <w:rFonts w:cs="Times New Roman"/>
        </w:rPr>
        <w:t>, pour l’ensemble des audits faisant l’objet du présent marché,</w:t>
      </w:r>
      <w:r w:rsidR="003E28B5">
        <w:rPr>
          <w:rFonts w:cs="Times New Roman"/>
        </w:rPr>
        <w:t xml:space="preserve"> </w:t>
      </w:r>
      <w:r w:rsidR="00960834" w:rsidRPr="00392BE0">
        <w:rPr>
          <w:rFonts w:cs="Times New Roman"/>
        </w:rPr>
        <w:t xml:space="preserve">au Titulaire </w:t>
      </w:r>
      <w:r w:rsidR="00545C72">
        <w:rPr>
          <w:rFonts w:cs="Times New Roman"/>
        </w:rPr>
        <w:t>classé</w:t>
      </w:r>
      <w:r w:rsidR="00960834" w:rsidRPr="00392BE0">
        <w:rPr>
          <w:rFonts w:cs="Times New Roman"/>
        </w:rPr>
        <w:t xml:space="preserve"> 1</w:t>
      </w:r>
      <w:r w:rsidR="00960834" w:rsidRPr="00545C72">
        <w:rPr>
          <w:rFonts w:cs="Times New Roman"/>
          <w:vertAlign w:val="superscript"/>
        </w:rPr>
        <w:t>er</w:t>
      </w:r>
      <w:r w:rsidR="00545C72">
        <w:rPr>
          <w:rFonts w:cs="Times New Roman"/>
        </w:rPr>
        <w:t xml:space="preserve"> à la suite de l’analyse des offres. </w:t>
      </w:r>
    </w:p>
    <w:p w14:paraId="6CCB65C5" w14:textId="0DAB81E8" w:rsidR="0063605B" w:rsidRDefault="00960834" w:rsidP="00AD6B9D">
      <w:pPr>
        <w:rPr>
          <w:rFonts w:cs="Times New Roman"/>
        </w:rPr>
      </w:pPr>
      <w:r w:rsidRPr="00392BE0">
        <w:rPr>
          <w:rFonts w:cs="Times New Roman"/>
        </w:rPr>
        <w:t xml:space="preserve">Dans le cas où </w:t>
      </w:r>
      <w:r w:rsidR="00545C72">
        <w:rPr>
          <w:rFonts w:cs="Times New Roman"/>
        </w:rPr>
        <w:t>le Titulaire classé 1</w:t>
      </w:r>
      <w:r w:rsidR="00545C72" w:rsidRPr="00545C72">
        <w:rPr>
          <w:rFonts w:cs="Times New Roman"/>
          <w:vertAlign w:val="superscript"/>
        </w:rPr>
        <w:t>er</w:t>
      </w:r>
      <w:r w:rsidR="00545C72">
        <w:rPr>
          <w:rFonts w:cs="Times New Roman"/>
        </w:rPr>
        <w:t xml:space="preserve"> </w:t>
      </w:r>
      <w:r w:rsidRPr="00392BE0">
        <w:rPr>
          <w:rFonts w:cs="Times New Roman"/>
        </w:rPr>
        <w:t>ne peut se voir attribuer une commande au motif d’un conflit d’intérêt</w:t>
      </w:r>
      <w:r w:rsidR="003E28B5">
        <w:rPr>
          <w:rFonts w:cs="Times New Roman"/>
        </w:rPr>
        <w:t xml:space="preserve"> ou d’une incapacité à assumer la totalité de la charge de travail correspondante</w:t>
      </w:r>
      <w:r w:rsidR="00F032AB">
        <w:rPr>
          <w:rFonts w:cs="Times New Roman"/>
        </w:rPr>
        <w:t xml:space="preserve"> au regard des modalités définies à l’article 7.1.2</w:t>
      </w:r>
      <w:r w:rsidRPr="00392BE0">
        <w:rPr>
          <w:rFonts w:cs="Times New Roman"/>
        </w:rPr>
        <w:t xml:space="preserve">, le CNC s’adresse </w:t>
      </w:r>
      <w:r w:rsidR="00F75807" w:rsidRPr="00392BE0">
        <w:rPr>
          <w:rFonts w:cs="Times New Roman"/>
        </w:rPr>
        <w:t>au Titulaire arrivé</w:t>
      </w:r>
      <w:r w:rsidRPr="00392BE0">
        <w:rPr>
          <w:rFonts w:cs="Times New Roman"/>
        </w:rPr>
        <w:t xml:space="preserve"> en 2</w:t>
      </w:r>
      <w:r w:rsidRPr="00545C72">
        <w:rPr>
          <w:rFonts w:cs="Times New Roman"/>
          <w:vertAlign w:val="superscript"/>
        </w:rPr>
        <w:t>ème</w:t>
      </w:r>
      <w:r w:rsidR="00545C72">
        <w:rPr>
          <w:rFonts w:cs="Times New Roman"/>
        </w:rPr>
        <w:t xml:space="preserve"> </w:t>
      </w:r>
      <w:r w:rsidR="0063605B">
        <w:rPr>
          <w:rFonts w:cs="Times New Roman"/>
        </w:rPr>
        <w:t xml:space="preserve">position </w:t>
      </w:r>
      <w:r w:rsidRPr="00392BE0">
        <w:rPr>
          <w:rFonts w:cs="Times New Roman"/>
        </w:rPr>
        <w:t>à l’issue de l’analyse des offres</w:t>
      </w:r>
      <w:r w:rsidR="0063605B">
        <w:rPr>
          <w:rFonts w:cs="Times New Roman"/>
        </w:rPr>
        <w:t xml:space="preserve"> pour les audits que le </w:t>
      </w:r>
      <w:r w:rsidR="0016544C">
        <w:rPr>
          <w:rFonts w:cs="Times New Roman"/>
        </w:rPr>
        <w:t>titulaire</w:t>
      </w:r>
      <w:r w:rsidR="0063605B">
        <w:rPr>
          <w:rFonts w:cs="Times New Roman"/>
        </w:rPr>
        <w:t xml:space="preserve"> </w:t>
      </w:r>
      <w:r w:rsidR="0016544C">
        <w:rPr>
          <w:rFonts w:cs="Times New Roman"/>
        </w:rPr>
        <w:t>classé 1</w:t>
      </w:r>
      <w:r w:rsidR="0016544C" w:rsidRPr="0016544C">
        <w:rPr>
          <w:rFonts w:cs="Times New Roman"/>
          <w:vertAlign w:val="superscript"/>
        </w:rPr>
        <w:t>er</w:t>
      </w:r>
      <w:r w:rsidR="0016544C">
        <w:rPr>
          <w:rFonts w:cs="Times New Roman"/>
        </w:rPr>
        <w:t xml:space="preserve"> n’est pas en mesure de prendre en charge</w:t>
      </w:r>
      <w:r w:rsidR="0063605B">
        <w:rPr>
          <w:rFonts w:cs="Times New Roman"/>
        </w:rPr>
        <w:t>.</w:t>
      </w:r>
    </w:p>
    <w:p w14:paraId="6BE61E19" w14:textId="3810EDA5" w:rsidR="0063605B" w:rsidRDefault="0063605B" w:rsidP="0063605B">
      <w:pPr>
        <w:rPr>
          <w:rFonts w:cs="Times New Roman"/>
        </w:rPr>
      </w:pPr>
      <w:r w:rsidRPr="00392BE0">
        <w:rPr>
          <w:rFonts w:cs="Times New Roman"/>
        </w:rPr>
        <w:t xml:space="preserve">Dans le cas où </w:t>
      </w:r>
      <w:r>
        <w:rPr>
          <w:rFonts w:cs="Times New Roman"/>
        </w:rPr>
        <w:t>le Titulaire classé 2</w:t>
      </w:r>
      <w:r w:rsidRPr="0063605B">
        <w:rPr>
          <w:rFonts w:cs="Times New Roman"/>
          <w:vertAlign w:val="superscript"/>
        </w:rPr>
        <w:t>ème</w:t>
      </w:r>
      <w:r>
        <w:rPr>
          <w:rFonts w:cs="Times New Roman"/>
        </w:rPr>
        <w:t xml:space="preserve"> </w:t>
      </w:r>
      <w:r w:rsidRPr="00392BE0">
        <w:rPr>
          <w:rFonts w:cs="Times New Roman"/>
        </w:rPr>
        <w:t>ne peut se voir attribuer une commande au motif d’un conflit d’intérêt</w:t>
      </w:r>
      <w:r>
        <w:rPr>
          <w:rFonts w:cs="Times New Roman"/>
        </w:rPr>
        <w:t xml:space="preserve"> ou d’une incapacité à assumer la totalité de la charge de travail correspondante</w:t>
      </w:r>
      <w:r w:rsidRPr="00392BE0">
        <w:rPr>
          <w:rFonts w:cs="Times New Roman"/>
        </w:rPr>
        <w:t xml:space="preserve">, le CNC s’adresse au Titulaire arrivé en </w:t>
      </w:r>
      <w:r>
        <w:rPr>
          <w:rFonts w:cs="Times New Roman"/>
        </w:rPr>
        <w:t>3</w:t>
      </w:r>
      <w:r w:rsidRPr="00545C72">
        <w:rPr>
          <w:rFonts w:cs="Times New Roman"/>
          <w:vertAlign w:val="superscript"/>
        </w:rPr>
        <w:t>ème</w:t>
      </w:r>
      <w:r>
        <w:rPr>
          <w:rFonts w:cs="Times New Roman"/>
        </w:rPr>
        <w:t xml:space="preserve"> position </w:t>
      </w:r>
      <w:r w:rsidRPr="00392BE0">
        <w:rPr>
          <w:rFonts w:cs="Times New Roman"/>
        </w:rPr>
        <w:t>à l’issue de l’analyse des offres</w:t>
      </w:r>
      <w:r>
        <w:rPr>
          <w:rFonts w:cs="Times New Roman"/>
        </w:rPr>
        <w:t xml:space="preserve"> </w:t>
      </w:r>
      <w:r w:rsidR="0016544C">
        <w:rPr>
          <w:rFonts w:cs="Times New Roman"/>
        </w:rPr>
        <w:t>pour les audits que les titulaires classé</w:t>
      </w:r>
      <w:r w:rsidR="00F032AB">
        <w:rPr>
          <w:rFonts w:cs="Times New Roman"/>
        </w:rPr>
        <w:t>s</w:t>
      </w:r>
      <w:r w:rsidR="0016544C">
        <w:rPr>
          <w:rFonts w:cs="Times New Roman"/>
        </w:rPr>
        <w:t xml:space="preserve"> 1</w:t>
      </w:r>
      <w:r w:rsidR="0016544C" w:rsidRPr="0016544C">
        <w:rPr>
          <w:rFonts w:cs="Times New Roman"/>
          <w:vertAlign w:val="superscript"/>
        </w:rPr>
        <w:t>er</w:t>
      </w:r>
      <w:r w:rsidR="0016544C">
        <w:rPr>
          <w:rFonts w:cs="Times New Roman"/>
          <w:vertAlign w:val="superscript"/>
        </w:rPr>
        <w:t xml:space="preserve"> </w:t>
      </w:r>
      <w:r w:rsidR="0016544C">
        <w:rPr>
          <w:rFonts w:cs="Times New Roman"/>
        </w:rPr>
        <w:t>et 2</w:t>
      </w:r>
      <w:r w:rsidR="0016544C" w:rsidRPr="0016544C">
        <w:rPr>
          <w:rFonts w:cs="Times New Roman"/>
          <w:vertAlign w:val="superscript"/>
        </w:rPr>
        <w:t>ème</w:t>
      </w:r>
      <w:r w:rsidR="0016544C">
        <w:rPr>
          <w:rFonts w:cs="Times New Roman"/>
        </w:rPr>
        <w:t xml:space="preserve"> ne sont pas en mesure de prendre en charge </w:t>
      </w:r>
      <w:r>
        <w:rPr>
          <w:rFonts w:cs="Times New Roman"/>
        </w:rPr>
        <w:t>et ainsi de suite jusqu’au titulaire classé en 5</w:t>
      </w:r>
      <w:r w:rsidRPr="0063605B">
        <w:rPr>
          <w:rFonts w:cs="Times New Roman"/>
          <w:vertAlign w:val="superscript"/>
        </w:rPr>
        <w:t>ème</w:t>
      </w:r>
      <w:r>
        <w:rPr>
          <w:rFonts w:cs="Times New Roman"/>
        </w:rPr>
        <w:t xml:space="preserve"> position le cas échéant.</w:t>
      </w:r>
    </w:p>
    <w:p w14:paraId="178B1AE7" w14:textId="79996059" w:rsidR="009D3CD8" w:rsidRPr="00392BE0" w:rsidRDefault="009D3CD8" w:rsidP="009D3CD8">
      <w:pPr>
        <w:pStyle w:val="Titre3"/>
      </w:pPr>
      <w:r>
        <w:t>En</w:t>
      </w:r>
      <w:r w:rsidR="00D551EA">
        <w:t>g</w:t>
      </w:r>
      <w:r>
        <w:t>agement de prise en charge d’une commande</w:t>
      </w:r>
    </w:p>
    <w:p w14:paraId="750022BB" w14:textId="71CC6ED4" w:rsidR="00EE0478" w:rsidRDefault="00EE0478" w:rsidP="0063605B">
      <w:pPr>
        <w:rPr>
          <w:rFonts w:cs="Times New Roman"/>
        </w:rPr>
      </w:pPr>
      <w:r>
        <w:rPr>
          <w:rFonts w:cs="Times New Roman"/>
        </w:rPr>
        <w:t>L</w:t>
      </w:r>
      <w:r w:rsidR="00A73C0F">
        <w:rPr>
          <w:rFonts w:cs="Times New Roman"/>
        </w:rPr>
        <w:t>e titulaire peut refuser de prendre en charge l’audit d’une ou plusieurs œuvres s’il ne dispose pas de la capacité de travail nécessaire à leur réalisation</w:t>
      </w:r>
      <w:r>
        <w:rPr>
          <w:rFonts w:cs="Times New Roman"/>
        </w:rPr>
        <w:t>,</w:t>
      </w:r>
      <w:r w:rsidR="00A73C0F">
        <w:rPr>
          <w:rFonts w:cs="Times New Roman"/>
        </w:rPr>
        <w:t xml:space="preserve"> à condition </w:t>
      </w:r>
      <w:r>
        <w:rPr>
          <w:rFonts w:cs="Times New Roman"/>
        </w:rPr>
        <w:t>d’être déjà en charge, dans le cadre du présent marché, de la réalisation d</w:t>
      </w:r>
      <w:r w:rsidR="00326F61">
        <w:rPr>
          <w:rFonts w:cs="Times New Roman"/>
        </w:rPr>
        <w:t>u nombre maximum d’audit indiqué dans son offre.</w:t>
      </w:r>
    </w:p>
    <w:p w14:paraId="2A1BCF11" w14:textId="0C121DE3" w:rsidR="00141C7B" w:rsidRPr="003B07B6" w:rsidRDefault="00606C30" w:rsidP="003B07B6">
      <w:pPr>
        <w:pStyle w:val="Titre2"/>
      </w:pPr>
      <w:bookmarkStart w:id="164" w:name="_Toc220490783"/>
      <w:r w:rsidRPr="003B07B6">
        <w:t>Gestion des conflits d’interêts</w:t>
      </w:r>
      <w:bookmarkEnd w:id="164"/>
    </w:p>
    <w:p w14:paraId="07E376A0" w14:textId="77777777" w:rsidR="00141C7B" w:rsidRPr="00392BE0" w:rsidRDefault="00141C7B" w:rsidP="00392BE0">
      <w:pPr>
        <w:pStyle w:val="Titre3"/>
      </w:pPr>
      <w:r w:rsidRPr="00392BE0">
        <w:t xml:space="preserve">Indépendance du (des) </w:t>
      </w:r>
      <w:r w:rsidR="008248CD" w:rsidRPr="00392BE0">
        <w:t>Titulaire</w:t>
      </w:r>
      <w:r w:rsidRPr="00392BE0">
        <w:t>(s) – conflit d’intérêts</w:t>
      </w:r>
    </w:p>
    <w:p w14:paraId="3C4A9B7C" w14:textId="0BC74AB0" w:rsidR="00141C7B" w:rsidRPr="00392BE0" w:rsidRDefault="00141C7B" w:rsidP="00EE0478">
      <w:pPr>
        <w:rPr>
          <w:rFonts w:cs="Times New Roman"/>
        </w:rPr>
      </w:pPr>
      <w:r w:rsidRPr="00392BE0">
        <w:rPr>
          <w:rFonts w:cs="Times New Roman"/>
        </w:rPr>
        <w:t>Les prestations d’audit des comptes de production</w:t>
      </w:r>
      <w:r w:rsidR="00CE5232">
        <w:rPr>
          <w:rFonts w:cs="Times New Roman"/>
        </w:rPr>
        <w:t xml:space="preserve"> et d’exploitation</w:t>
      </w:r>
      <w:r w:rsidRPr="00392BE0">
        <w:rPr>
          <w:rFonts w:cs="Times New Roman"/>
        </w:rPr>
        <w:t xml:space="preserve"> </w:t>
      </w:r>
      <w:r w:rsidR="008248CD" w:rsidRPr="00392BE0">
        <w:rPr>
          <w:rFonts w:cs="Times New Roman"/>
        </w:rPr>
        <w:t>s</w:t>
      </w:r>
      <w:r w:rsidRPr="00392BE0">
        <w:rPr>
          <w:rFonts w:cs="Times New Roman"/>
        </w:rPr>
        <w:t>ont impérativement réalisées par des sociétés détenant une expertise avérée en matière comptable</w:t>
      </w:r>
      <w:r w:rsidR="00401413">
        <w:rPr>
          <w:rFonts w:cs="Times New Roman"/>
        </w:rPr>
        <w:t xml:space="preserve">, </w:t>
      </w:r>
      <w:r w:rsidR="00401413" w:rsidRPr="00392BE0">
        <w:rPr>
          <w:rFonts w:cs="Times New Roman"/>
        </w:rPr>
        <w:t>reconnues pour leurs compétences dans l’économie du cinéma</w:t>
      </w:r>
      <w:r w:rsidR="00401413">
        <w:rPr>
          <w:rFonts w:cs="Times New Roman"/>
        </w:rPr>
        <w:t xml:space="preserve"> et du secteur audiovisuel</w:t>
      </w:r>
      <w:r w:rsidRPr="00392BE0">
        <w:rPr>
          <w:rFonts w:cs="Times New Roman"/>
        </w:rPr>
        <w:t xml:space="preserve"> et indépendantes de tout lien capitalistique</w:t>
      </w:r>
      <w:r w:rsidR="00B67E43">
        <w:rPr>
          <w:rFonts w:cs="Times New Roman"/>
        </w:rPr>
        <w:t>,</w:t>
      </w:r>
      <w:r w:rsidRPr="00392BE0">
        <w:rPr>
          <w:rFonts w:cs="Times New Roman"/>
        </w:rPr>
        <w:t xml:space="preserve"> d’affaires </w:t>
      </w:r>
      <w:r w:rsidR="00B67E43">
        <w:rPr>
          <w:rFonts w:cs="Times New Roman"/>
        </w:rPr>
        <w:t xml:space="preserve">ou familiaux </w:t>
      </w:r>
      <w:r w:rsidRPr="00392BE0">
        <w:rPr>
          <w:rFonts w:cs="Times New Roman"/>
        </w:rPr>
        <w:t xml:space="preserve">avec le ou les producteurs </w:t>
      </w:r>
      <w:r w:rsidR="00EC3667">
        <w:rPr>
          <w:rFonts w:cs="Times New Roman"/>
        </w:rPr>
        <w:t xml:space="preserve">et distributeurs </w:t>
      </w:r>
      <w:r w:rsidRPr="00392BE0">
        <w:rPr>
          <w:rFonts w:cs="Times New Roman"/>
        </w:rPr>
        <w:t>concernés</w:t>
      </w:r>
      <w:r w:rsidR="00401413">
        <w:rPr>
          <w:rFonts w:cs="Times New Roman"/>
        </w:rPr>
        <w:t xml:space="preserve"> par les audits</w:t>
      </w:r>
      <w:r w:rsidR="00132686">
        <w:rPr>
          <w:rFonts w:cs="Times New Roman"/>
        </w:rPr>
        <w:t>.</w:t>
      </w:r>
    </w:p>
    <w:p w14:paraId="44F2145A" w14:textId="77777777" w:rsidR="00B67E43" w:rsidRDefault="00141C7B" w:rsidP="00EE0478">
      <w:pPr>
        <w:rPr>
          <w:rFonts w:cs="Times New Roman"/>
        </w:rPr>
      </w:pPr>
      <w:r w:rsidRPr="00586CCC">
        <w:rPr>
          <w:rFonts w:cs="Times New Roman"/>
        </w:rPr>
        <w:t xml:space="preserve">Concernant le lien d’affaire, le </w:t>
      </w:r>
      <w:r w:rsidR="008248CD" w:rsidRPr="00586CCC">
        <w:rPr>
          <w:rFonts w:cs="Times New Roman"/>
        </w:rPr>
        <w:t>Titulaire</w:t>
      </w:r>
      <w:r w:rsidRPr="00586CCC">
        <w:rPr>
          <w:rFonts w:cs="Times New Roman"/>
        </w:rPr>
        <w:t xml:space="preserve"> de la commande ne devra pas avoir eu des relations professionnelles avec le(s) producteur(s) </w:t>
      </w:r>
      <w:r w:rsidR="00EC3667" w:rsidRPr="00586CCC">
        <w:rPr>
          <w:rFonts w:cs="Times New Roman"/>
        </w:rPr>
        <w:t xml:space="preserve">et le(s) distributeur(s) </w:t>
      </w:r>
      <w:r w:rsidRPr="00586CCC">
        <w:rPr>
          <w:rFonts w:cs="Times New Roman"/>
        </w:rPr>
        <w:t>d</w:t>
      </w:r>
      <w:r w:rsidR="00B95232" w:rsidRPr="00586CCC">
        <w:rPr>
          <w:rFonts w:cs="Times New Roman"/>
        </w:rPr>
        <w:t xml:space="preserve">e la (des) </w:t>
      </w:r>
      <w:r w:rsidR="0060354A" w:rsidRPr="00586CCC">
        <w:rPr>
          <w:rFonts w:cs="Times New Roman"/>
        </w:rPr>
        <w:t xml:space="preserve">œuvre(s) </w:t>
      </w:r>
      <w:r w:rsidR="00B95232" w:rsidRPr="00586CCC">
        <w:rPr>
          <w:rFonts w:cs="Times New Roman"/>
        </w:rPr>
        <w:t xml:space="preserve">cinématographique(s) ou </w:t>
      </w:r>
      <w:r w:rsidR="0060354A" w:rsidRPr="00586CCC">
        <w:rPr>
          <w:rFonts w:cs="Times New Roman"/>
        </w:rPr>
        <w:t xml:space="preserve">audiovisuelle(s) </w:t>
      </w:r>
      <w:r w:rsidRPr="00586CCC">
        <w:rPr>
          <w:rFonts w:cs="Times New Roman"/>
        </w:rPr>
        <w:t xml:space="preserve">à auditer, au cours des </w:t>
      </w:r>
      <w:r w:rsidR="006F7B14" w:rsidRPr="00586CCC">
        <w:rPr>
          <w:rFonts w:cs="Times New Roman"/>
        </w:rPr>
        <w:t xml:space="preserve">trois </w:t>
      </w:r>
      <w:r w:rsidRPr="00586CCC">
        <w:rPr>
          <w:rFonts w:cs="Times New Roman"/>
        </w:rPr>
        <w:t xml:space="preserve">années précédentes. </w:t>
      </w:r>
    </w:p>
    <w:p w14:paraId="31A28B9C" w14:textId="09135009" w:rsidR="00141C7B" w:rsidRDefault="00141C7B" w:rsidP="00EE0478">
      <w:pPr>
        <w:rPr>
          <w:rFonts w:cs="Times New Roman"/>
        </w:rPr>
      </w:pPr>
      <w:r w:rsidRPr="00586CCC">
        <w:rPr>
          <w:rFonts w:cs="Times New Roman"/>
        </w:rPr>
        <w:t>Particulièrement, la mission ne pourra être confiée à un prestataire ayant contrôlé</w:t>
      </w:r>
      <w:r w:rsidR="00A01C69" w:rsidRPr="00586CCC">
        <w:rPr>
          <w:rFonts w:cs="Times New Roman"/>
        </w:rPr>
        <w:t xml:space="preserve"> (</w:t>
      </w:r>
      <w:r w:rsidR="00D66218" w:rsidRPr="00586CCC">
        <w:rPr>
          <w:rFonts w:cs="Times New Roman"/>
        </w:rPr>
        <w:t>en dehors des prestations objet du marché</w:t>
      </w:r>
      <w:r w:rsidR="00A01C69" w:rsidRPr="00586CCC">
        <w:rPr>
          <w:rFonts w:cs="Times New Roman"/>
        </w:rPr>
        <w:t>)</w:t>
      </w:r>
      <w:r w:rsidR="00D66218" w:rsidRPr="00586CCC">
        <w:rPr>
          <w:rFonts w:cs="Times New Roman"/>
        </w:rPr>
        <w:t xml:space="preserve"> </w:t>
      </w:r>
      <w:r w:rsidRPr="00586CCC">
        <w:rPr>
          <w:rFonts w:cs="Times New Roman"/>
        </w:rPr>
        <w:t xml:space="preserve">ou </w:t>
      </w:r>
      <w:r w:rsidR="00EA083E" w:rsidRPr="00586CCC">
        <w:rPr>
          <w:rFonts w:cs="Times New Roman"/>
        </w:rPr>
        <w:t xml:space="preserve">effectué une prestation pour les sociétés </w:t>
      </w:r>
      <w:r w:rsidRPr="00586CCC">
        <w:rPr>
          <w:rFonts w:cs="Times New Roman"/>
        </w:rPr>
        <w:t>concerné</w:t>
      </w:r>
      <w:r w:rsidR="00EA083E" w:rsidRPr="00586CCC">
        <w:rPr>
          <w:rFonts w:cs="Times New Roman"/>
        </w:rPr>
        <w:t>es</w:t>
      </w:r>
      <w:r w:rsidRPr="00586CCC">
        <w:rPr>
          <w:rFonts w:cs="Times New Roman"/>
        </w:rPr>
        <w:t xml:space="preserve"> dans le délai indiqué ci-dessus. Le cas échéant, le </w:t>
      </w:r>
      <w:r w:rsidR="008248CD" w:rsidRPr="00586CCC">
        <w:rPr>
          <w:rFonts w:cs="Times New Roman"/>
        </w:rPr>
        <w:t>Titulaire</w:t>
      </w:r>
      <w:r w:rsidR="00EA083E" w:rsidRPr="00586CCC">
        <w:rPr>
          <w:rFonts w:cs="Times New Roman"/>
        </w:rPr>
        <w:t xml:space="preserve"> s’engage à se désister (A</w:t>
      </w:r>
      <w:r w:rsidRPr="00586CCC">
        <w:rPr>
          <w:rFonts w:cs="Times New Roman"/>
        </w:rPr>
        <w:t>nnexe 2 « engagement – conflit d’intérêts</w:t>
      </w:r>
      <w:r w:rsidR="00EA083E" w:rsidRPr="00586CCC">
        <w:rPr>
          <w:rFonts w:cs="Times New Roman"/>
        </w:rPr>
        <w:t> »</w:t>
      </w:r>
      <w:r w:rsidR="004F30CC" w:rsidRPr="00586CCC">
        <w:rPr>
          <w:rFonts w:cs="Times New Roman"/>
        </w:rPr>
        <w:t xml:space="preserve"> à l’acte d’engagement</w:t>
      </w:r>
      <w:r w:rsidRPr="00586CCC">
        <w:rPr>
          <w:rFonts w:cs="Times New Roman"/>
        </w:rPr>
        <w:t>).</w:t>
      </w:r>
    </w:p>
    <w:p w14:paraId="5EC43D89" w14:textId="0DC368A5" w:rsidR="00B67E43" w:rsidRPr="00392BE0" w:rsidRDefault="00B67E43" w:rsidP="00EE0478">
      <w:pPr>
        <w:rPr>
          <w:rFonts w:cs="Times New Roman"/>
        </w:rPr>
      </w:pPr>
      <w:r>
        <w:rPr>
          <w:rFonts w:cs="Times New Roman"/>
        </w:rPr>
        <w:t xml:space="preserve">Concernant les liens familiaux, les dirigeants du Titulaire ne devront notamment pas entretenir de liens </w:t>
      </w:r>
      <w:r>
        <w:rPr>
          <w:rFonts w:cs="Times New Roman"/>
        </w:rPr>
        <w:lastRenderedPageBreak/>
        <w:t>familiaux avec les dirigeants des sociétés auditées.</w:t>
      </w:r>
    </w:p>
    <w:p w14:paraId="75E37188" w14:textId="7788F509" w:rsidR="00606C30" w:rsidRDefault="00141C7B" w:rsidP="00EE0478">
      <w:pPr>
        <w:rPr>
          <w:rFonts w:cs="Times New Roman"/>
        </w:rPr>
      </w:pPr>
      <w:r w:rsidRPr="00392BE0">
        <w:rPr>
          <w:rFonts w:cs="Times New Roman"/>
        </w:rPr>
        <w:t xml:space="preserve">Par ailleurs, le </w:t>
      </w:r>
      <w:r w:rsidR="008248CD" w:rsidRPr="00392BE0">
        <w:rPr>
          <w:rFonts w:cs="Times New Roman"/>
        </w:rPr>
        <w:t>Titulaire</w:t>
      </w:r>
      <w:r w:rsidRPr="00392BE0">
        <w:rPr>
          <w:rFonts w:cs="Times New Roman"/>
        </w:rPr>
        <w:t xml:space="preserve"> s’engage à ce que les personnes physiques qui effectueront les prestations </w:t>
      </w:r>
      <w:r w:rsidR="00EA083E">
        <w:rPr>
          <w:rFonts w:cs="Times New Roman"/>
        </w:rPr>
        <w:t>d’audit</w:t>
      </w:r>
      <w:r w:rsidRPr="00392BE0">
        <w:rPr>
          <w:rFonts w:cs="Times New Roman"/>
        </w:rPr>
        <w:t xml:space="preserve"> ne connaissent aucun conflit d’intérêt et n’entretiennent aucun lien familial ou personnel avec les sociétés auditées. Ces personnes physiques ne devront pas avoir, au cours des </w:t>
      </w:r>
      <w:r w:rsidR="002364B3">
        <w:rPr>
          <w:rFonts w:cs="Times New Roman"/>
        </w:rPr>
        <w:t>3</w:t>
      </w:r>
      <w:r w:rsidRPr="00392BE0">
        <w:rPr>
          <w:rFonts w:cs="Times New Roman"/>
        </w:rPr>
        <w:t xml:space="preserve"> années précédentes, contrôlé </w:t>
      </w:r>
      <w:r w:rsidR="00A01C69">
        <w:rPr>
          <w:rFonts w:cs="Times New Roman"/>
        </w:rPr>
        <w:t xml:space="preserve">(en dehors des prestations objet du marché) </w:t>
      </w:r>
      <w:r w:rsidRPr="00392BE0">
        <w:rPr>
          <w:rFonts w:cs="Times New Roman"/>
        </w:rPr>
        <w:t xml:space="preserve">ou effectué une prestation pour le compte des personnes </w:t>
      </w:r>
      <w:r w:rsidR="00B67E43">
        <w:rPr>
          <w:rFonts w:cs="Times New Roman"/>
        </w:rPr>
        <w:t>objet de l’audit</w:t>
      </w:r>
      <w:r w:rsidRPr="00392BE0">
        <w:rPr>
          <w:rFonts w:cs="Times New Roman"/>
        </w:rPr>
        <w:t xml:space="preserve"> (</w:t>
      </w:r>
      <w:r w:rsidR="00866F7B">
        <w:rPr>
          <w:rFonts w:cs="Times New Roman"/>
        </w:rPr>
        <w:t>A</w:t>
      </w:r>
      <w:r w:rsidRPr="00392BE0">
        <w:rPr>
          <w:rFonts w:cs="Times New Roman"/>
        </w:rPr>
        <w:t>nnexe 2 « engagement – conflit d’intérêts</w:t>
      </w:r>
      <w:r w:rsidR="004F30CC">
        <w:rPr>
          <w:rFonts w:cs="Times New Roman"/>
        </w:rPr>
        <w:t> » à l’acte d’engagement</w:t>
      </w:r>
      <w:r w:rsidRPr="00392BE0">
        <w:rPr>
          <w:rFonts w:cs="Times New Roman"/>
        </w:rPr>
        <w:t>).</w:t>
      </w:r>
    </w:p>
    <w:p w14:paraId="0A0A18F9" w14:textId="5452755A" w:rsidR="00606C30" w:rsidRDefault="00606C30" w:rsidP="00606C30">
      <w:pPr>
        <w:rPr>
          <w:rFonts w:cs="Times New Roman"/>
        </w:rPr>
      </w:pPr>
      <w:r>
        <w:rPr>
          <w:rFonts w:cs="Times New Roman"/>
        </w:rPr>
        <w:t>Outre les engagements d’indépendance en cours d’exécution des prestations, l</w:t>
      </w:r>
      <w:r w:rsidRPr="00392BE0">
        <w:rPr>
          <w:rFonts w:cs="Times New Roman"/>
        </w:rPr>
        <w:t>e</w:t>
      </w:r>
      <w:r w:rsidR="00EA54AD">
        <w:rPr>
          <w:rFonts w:cs="Times New Roman"/>
        </w:rPr>
        <w:t xml:space="preserve"> titulaire respecte le délai de carence proposé le cas échéant dans son offre</w:t>
      </w:r>
      <w:r>
        <w:rPr>
          <w:rFonts w:cs="Times New Roman"/>
        </w:rPr>
        <w:t>.</w:t>
      </w:r>
    </w:p>
    <w:p w14:paraId="6D0B2864" w14:textId="5E1C4869" w:rsidR="00606C30" w:rsidRDefault="00EA54AD" w:rsidP="00606C30">
      <w:pPr>
        <w:rPr>
          <w:rFonts w:cs="Times New Roman"/>
        </w:rPr>
      </w:pPr>
      <w:bookmarkStart w:id="165" w:name="_Hlk31280710"/>
      <w:r>
        <w:rPr>
          <w:rFonts w:cs="Times New Roman"/>
        </w:rPr>
        <w:t>L</w:t>
      </w:r>
      <w:r w:rsidR="00606C30">
        <w:rPr>
          <w:rFonts w:cs="Times New Roman"/>
        </w:rPr>
        <w:t>e</w:t>
      </w:r>
      <w:r w:rsidR="00243813">
        <w:rPr>
          <w:rFonts w:cs="Times New Roman"/>
        </w:rPr>
        <w:t xml:space="preserve"> délai d</w:t>
      </w:r>
      <w:r w:rsidR="00606C30">
        <w:rPr>
          <w:rFonts w:cs="Times New Roman"/>
        </w:rPr>
        <w:t xml:space="preserve">e carence est entendu comme </w:t>
      </w:r>
      <w:r w:rsidR="00243813">
        <w:rPr>
          <w:rFonts w:cs="Times New Roman"/>
        </w:rPr>
        <w:t>la période durant laquelle le</w:t>
      </w:r>
      <w:r w:rsidR="00606C30">
        <w:rPr>
          <w:rFonts w:cs="Times New Roman"/>
        </w:rPr>
        <w:t xml:space="preserve"> </w:t>
      </w:r>
      <w:r w:rsidR="00EA083E">
        <w:rPr>
          <w:rFonts w:cs="Times New Roman"/>
        </w:rPr>
        <w:t>T</w:t>
      </w:r>
      <w:r w:rsidR="00606C30">
        <w:rPr>
          <w:rFonts w:cs="Times New Roman"/>
        </w:rPr>
        <w:t xml:space="preserve">itulaire </w:t>
      </w:r>
      <w:r w:rsidR="00243813">
        <w:rPr>
          <w:rFonts w:cs="Times New Roman"/>
        </w:rPr>
        <w:t xml:space="preserve">s’engage </w:t>
      </w:r>
      <w:r w:rsidR="00606C30">
        <w:rPr>
          <w:rFonts w:cs="Times New Roman"/>
        </w:rPr>
        <w:t>à ne pas réaliser de prestation ni engager de relation d’affaires ou capitalistique avec les sociétés de production ou de distribution auditées</w:t>
      </w:r>
      <w:bookmarkEnd w:id="165"/>
      <w:r w:rsidR="00606C30">
        <w:rPr>
          <w:rFonts w:cs="Times New Roman"/>
        </w:rPr>
        <w:t>.</w:t>
      </w:r>
    </w:p>
    <w:p w14:paraId="698FF639" w14:textId="262B75FD" w:rsidR="00606C30" w:rsidRPr="00606C30" w:rsidRDefault="00606C30" w:rsidP="00F90942">
      <w:pPr>
        <w:pStyle w:val="Titre3"/>
      </w:pPr>
      <w:r w:rsidRPr="00606C30">
        <w:t>Information du CNC sur l</w:t>
      </w:r>
      <w:r>
        <w:t>es</w:t>
      </w:r>
      <w:r w:rsidRPr="00606C30">
        <w:t xml:space="preserve"> situation</w:t>
      </w:r>
      <w:r>
        <w:t>s</w:t>
      </w:r>
      <w:r w:rsidRPr="00606C30">
        <w:t xml:space="preserve"> de conflit d’intérêt</w:t>
      </w:r>
    </w:p>
    <w:p w14:paraId="531E456A" w14:textId="506AF6C6" w:rsidR="00606C30" w:rsidRDefault="00606C30" w:rsidP="00EE0478">
      <w:pPr>
        <w:rPr>
          <w:rFonts w:cs="Times New Roman"/>
        </w:rPr>
      </w:pPr>
      <w:r>
        <w:rPr>
          <w:rFonts w:cs="Times New Roman"/>
        </w:rPr>
        <w:t>Le titulaire s’engage à informer le CNC sans délai de toute situation de conflit d’intérêt qui pourrait survenir en cours d’exécution des prestations, notamment, et sans que cette liste soit exhaustive :</w:t>
      </w:r>
    </w:p>
    <w:p w14:paraId="388AD101" w14:textId="2BB76105" w:rsidR="00606C30" w:rsidRDefault="00606C30" w:rsidP="00205AB7">
      <w:pPr>
        <w:pStyle w:val="Paragraphedeliste"/>
        <w:numPr>
          <w:ilvl w:val="0"/>
          <w:numId w:val="8"/>
        </w:numPr>
        <w:rPr>
          <w:rFonts w:cs="Times New Roman"/>
        </w:rPr>
      </w:pPr>
      <w:r>
        <w:rPr>
          <w:rFonts w:cs="Times New Roman"/>
        </w:rPr>
        <w:t>Modification de sa</w:t>
      </w:r>
      <w:r w:rsidR="00EA083E">
        <w:rPr>
          <w:rFonts w:cs="Times New Roman"/>
        </w:rPr>
        <w:t xml:space="preserve"> situation capitalistique entraî</w:t>
      </w:r>
      <w:r>
        <w:rPr>
          <w:rFonts w:cs="Times New Roman"/>
        </w:rPr>
        <w:t>nant une situation de conflit d’intérêt ;</w:t>
      </w:r>
    </w:p>
    <w:p w14:paraId="2C071A1B" w14:textId="3969ED8D" w:rsidR="00606C30" w:rsidRDefault="00606C30" w:rsidP="00205AB7">
      <w:pPr>
        <w:pStyle w:val="Paragraphedeliste"/>
        <w:numPr>
          <w:ilvl w:val="0"/>
          <w:numId w:val="8"/>
        </w:numPr>
        <w:rPr>
          <w:rFonts w:cs="Times New Roman"/>
        </w:rPr>
      </w:pPr>
      <w:r>
        <w:rPr>
          <w:rFonts w:cs="Times New Roman"/>
        </w:rPr>
        <w:t xml:space="preserve">Intégration dans ses effectifs de personnels en situation de conflit d’intérêt </w:t>
      </w:r>
      <w:r w:rsidR="00EA083E">
        <w:rPr>
          <w:rFonts w:cs="Times New Roman"/>
        </w:rPr>
        <w:t>au vu</w:t>
      </w:r>
      <w:r>
        <w:rPr>
          <w:rFonts w:cs="Times New Roman"/>
        </w:rPr>
        <w:t xml:space="preserve"> des audits en cours ;</w:t>
      </w:r>
    </w:p>
    <w:p w14:paraId="759A4D7F" w14:textId="777CDCB3" w:rsidR="00606C30" w:rsidRDefault="00EA083E" w:rsidP="00205AB7">
      <w:pPr>
        <w:pStyle w:val="Paragraphedeliste"/>
        <w:numPr>
          <w:ilvl w:val="0"/>
          <w:numId w:val="8"/>
        </w:numPr>
        <w:rPr>
          <w:rFonts w:cs="Times New Roman"/>
        </w:rPr>
      </w:pPr>
      <w:r>
        <w:rPr>
          <w:rFonts w:cs="Times New Roman"/>
        </w:rPr>
        <w:t>Départ de salariés entraî</w:t>
      </w:r>
      <w:r w:rsidR="00606C30">
        <w:rPr>
          <w:rFonts w:cs="Times New Roman"/>
        </w:rPr>
        <w:t>nant une situation de conflit d’intérêt</w:t>
      </w:r>
      <w:r w:rsidRPr="00EA083E">
        <w:rPr>
          <w:rFonts w:cs="Times New Roman"/>
        </w:rPr>
        <w:t xml:space="preserve"> </w:t>
      </w:r>
      <w:r>
        <w:rPr>
          <w:rFonts w:cs="Times New Roman"/>
        </w:rPr>
        <w:t>au vu des audits en cours</w:t>
      </w:r>
      <w:r w:rsidR="00420D4B">
        <w:rPr>
          <w:rFonts w:cs="Times New Roman"/>
        </w:rPr>
        <w:t xml:space="preserve"> ou déjà réalisés</w:t>
      </w:r>
      <w:r w:rsidR="00606C30">
        <w:rPr>
          <w:rFonts w:cs="Times New Roman"/>
        </w:rPr>
        <w:t>.</w:t>
      </w:r>
    </w:p>
    <w:p w14:paraId="5E3FB2BD" w14:textId="77777777" w:rsidR="00141C7B" w:rsidRPr="003B07B6" w:rsidRDefault="00141C7B" w:rsidP="003B07B6">
      <w:pPr>
        <w:pStyle w:val="Titre2"/>
      </w:pPr>
      <w:bookmarkStart w:id="166" w:name="_Toc220490784"/>
      <w:r w:rsidRPr="003B07B6">
        <w:t>Obligation de confidentialité</w:t>
      </w:r>
      <w:bookmarkEnd w:id="166"/>
      <w:r w:rsidRPr="003B07B6">
        <w:t xml:space="preserve"> </w:t>
      </w:r>
    </w:p>
    <w:p w14:paraId="4CB8EB07" w14:textId="77777777" w:rsidR="00141C7B" w:rsidRPr="00392BE0" w:rsidRDefault="00141C7B" w:rsidP="00392BE0">
      <w:pPr>
        <w:widowControl/>
        <w:autoSpaceDE/>
        <w:autoSpaceDN/>
        <w:adjustRightInd/>
        <w:spacing w:before="120"/>
        <w:outlineLvl w:val="2"/>
        <w:rPr>
          <w:rFonts w:cs="Times New Roman"/>
        </w:rPr>
      </w:pPr>
      <w:r w:rsidRPr="00392BE0">
        <w:rPr>
          <w:rFonts w:cs="Times New Roman"/>
        </w:rPr>
        <w:t>La présente disposition complète l’article 5 du CCAG-PI.</w:t>
      </w:r>
    </w:p>
    <w:p w14:paraId="1CA5C619" w14:textId="17AF86A6" w:rsidR="00735F2A" w:rsidRDefault="00141C7B" w:rsidP="00392BE0">
      <w:pPr>
        <w:widowControl/>
        <w:autoSpaceDE/>
        <w:autoSpaceDN/>
        <w:adjustRightInd/>
        <w:spacing w:before="120"/>
        <w:outlineLvl w:val="2"/>
        <w:rPr>
          <w:rFonts w:cs="Times New Roman"/>
        </w:rPr>
      </w:pPr>
      <w:r w:rsidRPr="00392BE0">
        <w:rPr>
          <w:rFonts w:cs="Times New Roman"/>
        </w:rPr>
        <w:t>Le</w:t>
      </w:r>
      <w:r w:rsidR="00735F2A">
        <w:rPr>
          <w:rFonts w:cs="Times New Roman"/>
        </w:rPr>
        <w:t xml:space="preserve"> </w:t>
      </w:r>
      <w:r w:rsidR="008248CD" w:rsidRPr="00392BE0">
        <w:rPr>
          <w:rFonts w:cs="Times New Roman"/>
        </w:rPr>
        <w:t>Titulaire</w:t>
      </w:r>
      <w:r w:rsidR="00735F2A">
        <w:rPr>
          <w:rFonts w:cs="Times New Roman"/>
        </w:rPr>
        <w:t xml:space="preserve"> </w:t>
      </w:r>
      <w:r w:rsidRPr="00392BE0">
        <w:rPr>
          <w:rFonts w:cs="Times New Roman"/>
        </w:rPr>
        <w:t>s’engage</w:t>
      </w:r>
      <w:r w:rsidR="00735F2A">
        <w:rPr>
          <w:rFonts w:cs="Times New Roman"/>
        </w:rPr>
        <w:t xml:space="preserve"> </w:t>
      </w:r>
      <w:r w:rsidRPr="00392BE0">
        <w:rPr>
          <w:rFonts w:cs="Times New Roman"/>
        </w:rPr>
        <w:t xml:space="preserve">à ne pas divulguer les </w:t>
      </w:r>
      <w:r w:rsidR="003B07B6" w:rsidRPr="00392BE0">
        <w:rPr>
          <w:rFonts w:cs="Times New Roman"/>
        </w:rPr>
        <w:t xml:space="preserve">titres </w:t>
      </w:r>
      <w:r w:rsidR="003B07B6">
        <w:rPr>
          <w:rFonts w:cs="Times New Roman"/>
        </w:rPr>
        <w:t>des</w:t>
      </w:r>
      <w:r w:rsidR="00735F2A">
        <w:rPr>
          <w:rFonts w:cs="Times New Roman"/>
        </w:rPr>
        <w:t xml:space="preserve"> œuvres qu’il audit</w:t>
      </w:r>
      <w:r w:rsidR="009F4EB4">
        <w:rPr>
          <w:rFonts w:cs="Times New Roman"/>
        </w:rPr>
        <w:t>e</w:t>
      </w:r>
      <w:r w:rsidR="00586CCC">
        <w:rPr>
          <w:rFonts w:cs="Times New Roman"/>
        </w:rPr>
        <w:t>,</w:t>
      </w:r>
      <w:r w:rsidR="00735F2A">
        <w:rPr>
          <w:rFonts w:cs="Times New Roman"/>
        </w:rPr>
        <w:t xml:space="preserve"> ni le nom des sociétés de production et de distribution concernés. </w:t>
      </w:r>
    </w:p>
    <w:p w14:paraId="1A2ECD6B" w14:textId="77777777" w:rsidR="00141C7B" w:rsidRPr="003B07B6" w:rsidRDefault="00141C7B" w:rsidP="003B07B6">
      <w:pPr>
        <w:pStyle w:val="Titre2"/>
      </w:pPr>
      <w:bookmarkStart w:id="167" w:name="_Toc220490785"/>
      <w:r w:rsidRPr="003B07B6">
        <w:t>Coopération</w:t>
      </w:r>
      <w:bookmarkEnd w:id="167"/>
    </w:p>
    <w:p w14:paraId="108B43BC" w14:textId="6FC8814D" w:rsidR="00141C7B" w:rsidRPr="00392BE0" w:rsidRDefault="00141C7B" w:rsidP="00392BE0">
      <w:pPr>
        <w:widowControl/>
        <w:autoSpaceDE/>
        <w:autoSpaceDN/>
        <w:adjustRightInd/>
        <w:spacing w:before="120"/>
        <w:outlineLvl w:val="2"/>
        <w:rPr>
          <w:rFonts w:cs="Times New Roman"/>
        </w:rPr>
      </w:pPr>
      <w:r w:rsidRPr="00392BE0">
        <w:rPr>
          <w:rFonts w:cs="Times New Roman"/>
        </w:rPr>
        <w:t>La démarche envisagée ne sera possible qu'avec la collaboration des personnels des soc</w:t>
      </w:r>
      <w:r w:rsidR="008248CD" w:rsidRPr="00392BE0">
        <w:rPr>
          <w:rFonts w:cs="Times New Roman"/>
        </w:rPr>
        <w:t xml:space="preserve">iétés contrôlées. </w:t>
      </w:r>
      <w:r w:rsidR="004D7B07">
        <w:rPr>
          <w:rFonts w:cs="Times New Roman"/>
        </w:rPr>
        <w:t>L</w:t>
      </w:r>
      <w:r w:rsidRPr="00392BE0">
        <w:rPr>
          <w:rFonts w:cs="Times New Roman"/>
        </w:rPr>
        <w:t xml:space="preserve">es producteurs </w:t>
      </w:r>
      <w:r w:rsidR="00977FBC">
        <w:rPr>
          <w:rFonts w:cs="Times New Roman"/>
        </w:rPr>
        <w:t xml:space="preserve">et distributeurs </w:t>
      </w:r>
      <w:r w:rsidRPr="00392BE0">
        <w:rPr>
          <w:rFonts w:cs="Times New Roman"/>
        </w:rPr>
        <w:t xml:space="preserve">concernés </w:t>
      </w:r>
      <w:r w:rsidR="004D7B07">
        <w:rPr>
          <w:rFonts w:cs="Times New Roman"/>
        </w:rPr>
        <w:t xml:space="preserve">sont tenus </w:t>
      </w:r>
      <w:r w:rsidRPr="00392BE0">
        <w:rPr>
          <w:rFonts w:cs="Times New Roman"/>
        </w:rPr>
        <w:t xml:space="preserve">de communiquer aux auditeurs les données comptables, ainsi que toutes dispositions convenues avec </w:t>
      </w:r>
      <w:r w:rsidR="00027B57">
        <w:rPr>
          <w:rFonts w:cs="Times New Roman"/>
        </w:rPr>
        <w:t>leur</w:t>
      </w:r>
      <w:r w:rsidRPr="00392BE0">
        <w:rPr>
          <w:rFonts w:cs="Times New Roman"/>
        </w:rPr>
        <w:t>s cessionnaires et mandataires visant à organ</w:t>
      </w:r>
      <w:r w:rsidR="00027B57">
        <w:rPr>
          <w:rFonts w:cs="Times New Roman"/>
        </w:rPr>
        <w:t>iser la transparence des comptes de production et</w:t>
      </w:r>
      <w:r w:rsidRPr="00392BE0">
        <w:rPr>
          <w:rFonts w:cs="Times New Roman"/>
        </w:rPr>
        <w:t xml:space="preserve"> d’exploitation des œuvres </w:t>
      </w:r>
      <w:r w:rsidR="00977FBC">
        <w:rPr>
          <w:rFonts w:cs="Times New Roman"/>
        </w:rPr>
        <w:t>concernées</w:t>
      </w:r>
      <w:r w:rsidRPr="00392BE0">
        <w:rPr>
          <w:rFonts w:cs="Times New Roman"/>
        </w:rPr>
        <w:t>.</w:t>
      </w:r>
    </w:p>
    <w:p w14:paraId="49B2502C" w14:textId="083AF827" w:rsidR="00141C7B" w:rsidRPr="00392BE0" w:rsidRDefault="008248CD" w:rsidP="00392BE0">
      <w:pPr>
        <w:widowControl/>
        <w:autoSpaceDE/>
        <w:autoSpaceDN/>
        <w:adjustRightInd/>
        <w:spacing w:before="120"/>
        <w:outlineLvl w:val="2"/>
        <w:rPr>
          <w:rFonts w:cs="Times New Roman"/>
        </w:rPr>
      </w:pPr>
      <w:r w:rsidRPr="00761D18">
        <w:rPr>
          <w:rFonts w:cs="Times New Roman"/>
        </w:rPr>
        <w:t xml:space="preserve">Les missions </w:t>
      </w:r>
      <w:r w:rsidR="00141C7B" w:rsidRPr="00761D18">
        <w:rPr>
          <w:rFonts w:cs="Times New Roman"/>
        </w:rPr>
        <w:t xml:space="preserve">ont </w:t>
      </w:r>
      <w:r w:rsidR="00977FBC" w:rsidRPr="00761D18">
        <w:rPr>
          <w:rFonts w:cs="Times New Roman"/>
        </w:rPr>
        <w:t xml:space="preserve">principalement </w:t>
      </w:r>
      <w:r w:rsidR="00141C7B" w:rsidRPr="00761D18">
        <w:rPr>
          <w:rFonts w:cs="Times New Roman"/>
        </w:rPr>
        <w:t>lieu en région parisienne. Toutefois certaines d’en</w:t>
      </w:r>
      <w:r w:rsidRPr="00761D18">
        <w:rPr>
          <w:rFonts w:cs="Times New Roman"/>
        </w:rPr>
        <w:t>tre elles peuve</w:t>
      </w:r>
      <w:r w:rsidR="00141C7B" w:rsidRPr="00761D18">
        <w:rPr>
          <w:rFonts w:cs="Times New Roman"/>
        </w:rPr>
        <w:t>nt être amenées à se dérouler en région</w:t>
      </w:r>
      <w:r w:rsidR="00761D18">
        <w:rPr>
          <w:rFonts w:cs="Times New Roman"/>
        </w:rPr>
        <w:t>s</w:t>
      </w:r>
      <w:r w:rsidR="00141C7B" w:rsidRPr="00761D18">
        <w:rPr>
          <w:rFonts w:cs="Times New Roman"/>
        </w:rPr>
        <w:t>.</w:t>
      </w:r>
    </w:p>
    <w:p w14:paraId="58BA8FC2" w14:textId="6DEBBA9B" w:rsidR="00141C7B" w:rsidRPr="00392BE0" w:rsidRDefault="00141C7B" w:rsidP="00392BE0">
      <w:pPr>
        <w:widowControl/>
        <w:autoSpaceDE/>
        <w:autoSpaceDN/>
        <w:adjustRightInd/>
        <w:spacing w:before="120"/>
        <w:outlineLvl w:val="2"/>
        <w:rPr>
          <w:rFonts w:cs="Times New Roman"/>
        </w:rPr>
      </w:pPr>
      <w:r w:rsidRPr="00392BE0">
        <w:rPr>
          <w:rFonts w:cs="Times New Roman"/>
        </w:rPr>
        <w:t xml:space="preserve">En cas de difficultés matérielles constatées au cours de la mission, l’auditeur </w:t>
      </w:r>
      <w:r w:rsidR="008248CD" w:rsidRPr="00392BE0">
        <w:rPr>
          <w:rFonts w:cs="Times New Roman"/>
        </w:rPr>
        <w:t>en informe</w:t>
      </w:r>
      <w:r w:rsidRPr="00392BE0">
        <w:rPr>
          <w:rFonts w:cs="Times New Roman"/>
        </w:rPr>
        <w:t xml:space="preserve"> immédiatement le CNC</w:t>
      </w:r>
      <w:r w:rsidR="00027B57">
        <w:rPr>
          <w:rFonts w:cs="Times New Roman"/>
        </w:rPr>
        <w:t>,</w:t>
      </w:r>
      <w:r w:rsidRPr="00392BE0">
        <w:rPr>
          <w:rFonts w:cs="Times New Roman"/>
        </w:rPr>
        <w:t xml:space="preserve"> pour modification ou arrêt de la mission si nécessaire et pour prendre toutes mesures conservatoires dans l'intérêt du CNC.</w:t>
      </w:r>
    </w:p>
    <w:p w14:paraId="0829F546" w14:textId="10002303" w:rsidR="00141C7B" w:rsidRDefault="00141C7B" w:rsidP="00392BE0">
      <w:pPr>
        <w:widowControl/>
        <w:autoSpaceDE/>
        <w:autoSpaceDN/>
        <w:adjustRightInd/>
        <w:spacing w:before="120"/>
        <w:outlineLvl w:val="2"/>
        <w:rPr>
          <w:rFonts w:cs="Times New Roman"/>
        </w:rPr>
      </w:pPr>
      <w:r w:rsidRPr="00392BE0">
        <w:rPr>
          <w:rFonts w:cs="Times New Roman"/>
        </w:rPr>
        <w:t>Le cas échéant,</w:t>
      </w:r>
      <w:r w:rsidR="008248CD" w:rsidRPr="00392BE0">
        <w:rPr>
          <w:rFonts w:cs="Times New Roman"/>
        </w:rPr>
        <w:t xml:space="preserve"> le CNC fixe</w:t>
      </w:r>
      <w:r w:rsidRPr="00392BE0">
        <w:rPr>
          <w:rFonts w:cs="Times New Roman"/>
        </w:rPr>
        <w:t xml:space="preserve"> par écrit au </w:t>
      </w:r>
      <w:r w:rsidR="008248CD" w:rsidRPr="00392BE0">
        <w:rPr>
          <w:rFonts w:cs="Times New Roman"/>
        </w:rPr>
        <w:t>Titulaire</w:t>
      </w:r>
      <w:r w:rsidRPr="00392BE0">
        <w:rPr>
          <w:rFonts w:cs="Times New Roman"/>
        </w:rPr>
        <w:t xml:space="preserve"> les conditions particulières de chaque mission.</w:t>
      </w:r>
    </w:p>
    <w:p w14:paraId="4CB33234" w14:textId="5574271F" w:rsidR="007A49A1" w:rsidRPr="003B07B6" w:rsidRDefault="007A49A1" w:rsidP="003B07B6">
      <w:pPr>
        <w:pStyle w:val="Titre2"/>
      </w:pPr>
      <w:bookmarkStart w:id="168" w:name="_Toc431279951"/>
      <w:bookmarkStart w:id="169" w:name="_Toc220490786"/>
      <w:bookmarkStart w:id="170" w:name="_Toc188184772"/>
      <w:r w:rsidRPr="003B07B6">
        <w:t>Responsabilités</w:t>
      </w:r>
      <w:bookmarkEnd w:id="168"/>
      <w:bookmarkEnd w:id="169"/>
      <w:r w:rsidRPr="003B07B6">
        <w:t xml:space="preserve"> </w:t>
      </w:r>
      <w:bookmarkEnd w:id="170"/>
    </w:p>
    <w:p w14:paraId="27F73A31" w14:textId="126B0F89" w:rsidR="00027B57" w:rsidRDefault="00027B57" w:rsidP="00392BE0">
      <w:pPr>
        <w:widowControl/>
        <w:autoSpaceDE/>
        <w:autoSpaceDN/>
        <w:adjustRightInd/>
        <w:spacing w:before="120"/>
        <w:outlineLvl w:val="2"/>
        <w:rPr>
          <w:rFonts w:cs="Times New Roman"/>
        </w:rPr>
      </w:pPr>
      <w:bookmarkStart w:id="171" w:name="_Toc15281924"/>
      <w:bookmarkStart w:id="172" w:name="_Toc161488643"/>
      <w:r w:rsidRPr="00027B57">
        <w:rPr>
          <w:rFonts w:cs="Times New Roman"/>
        </w:rPr>
        <w:t>Le Titulaire s’engage à prendre en compte toute modification de la règlementation et des normes applicables dans la réalisation des audits dont il a la charge et</w:t>
      </w:r>
      <w:r w:rsidR="00963A16">
        <w:rPr>
          <w:rFonts w:cs="Times New Roman"/>
        </w:rPr>
        <w:t>,</w:t>
      </w:r>
      <w:r w:rsidRPr="00027B57">
        <w:rPr>
          <w:rFonts w:cs="Times New Roman"/>
        </w:rPr>
        <w:t xml:space="preserve"> le cas échéant, à actualiser ses prestations en conséquence</w:t>
      </w:r>
      <w:r>
        <w:rPr>
          <w:rFonts w:cs="Times New Roman"/>
        </w:rPr>
        <w:t>.</w:t>
      </w:r>
    </w:p>
    <w:p w14:paraId="1199E270" w14:textId="49E31707" w:rsidR="007A49A1" w:rsidRPr="00392BE0" w:rsidRDefault="007A49A1" w:rsidP="00392BE0">
      <w:pPr>
        <w:widowControl/>
        <w:autoSpaceDE/>
        <w:autoSpaceDN/>
        <w:adjustRightInd/>
        <w:spacing w:before="120"/>
        <w:outlineLvl w:val="2"/>
        <w:rPr>
          <w:rFonts w:cs="Times New Roman"/>
        </w:rPr>
      </w:pPr>
      <w:r w:rsidRPr="00392BE0">
        <w:rPr>
          <w:rFonts w:cs="Times New Roman"/>
        </w:rPr>
        <w:t xml:space="preserve">Le </w:t>
      </w:r>
      <w:r w:rsidR="008248CD" w:rsidRPr="00392BE0">
        <w:rPr>
          <w:rFonts w:cs="Times New Roman"/>
        </w:rPr>
        <w:t>Titulaire</w:t>
      </w:r>
      <w:r w:rsidRPr="00392BE0">
        <w:rPr>
          <w:rFonts w:cs="Times New Roman"/>
        </w:rPr>
        <w:t xml:space="preserve"> s'engage à reconstituer les documents qui lui auraient été confiés et viendraient à être perdus par sa faute.</w:t>
      </w:r>
    </w:p>
    <w:p w14:paraId="5790AB97" w14:textId="5D771608" w:rsidR="007A49A1" w:rsidRPr="00392BE0" w:rsidRDefault="007A49A1" w:rsidP="00392BE0">
      <w:pPr>
        <w:widowControl/>
        <w:autoSpaceDE/>
        <w:autoSpaceDN/>
        <w:adjustRightInd/>
        <w:spacing w:before="120"/>
        <w:outlineLvl w:val="2"/>
        <w:rPr>
          <w:rFonts w:cs="Times New Roman"/>
        </w:rPr>
      </w:pPr>
      <w:r w:rsidRPr="00392BE0">
        <w:rPr>
          <w:rFonts w:cs="Times New Roman"/>
        </w:rPr>
        <w:t xml:space="preserve">Le </w:t>
      </w:r>
      <w:r w:rsidR="008248CD" w:rsidRPr="00392BE0">
        <w:rPr>
          <w:rFonts w:cs="Times New Roman"/>
        </w:rPr>
        <w:t>Titulaire</w:t>
      </w:r>
      <w:r w:rsidRPr="00392BE0">
        <w:rPr>
          <w:rFonts w:cs="Times New Roman"/>
        </w:rPr>
        <w:t xml:space="preserve"> ne saurait être tenu pour responsable des retards ou empêchements dans l'exécution du présent contrat du fait de cas fortuit</w:t>
      </w:r>
      <w:r w:rsidR="000E46AD">
        <w:rPr>
          <w:rFonts w:cs="Times New Roman"/>
        </w:rPr>
        <w:t>s</w:t>
      </w:r>
      <w:r w:rsidRPr="00392BE0">
        <w:rPr>
          <w:rFonts w:cs="Times New Roman"/>
        </w:rPr>
        <w:t xml:space="preserve"> ou de force majeure, ou en raison d'événements ou situations dont le CNC serait responsable.</w:t>
      </w:r>
    </w:p>
    <w:p w14:paraId="6413B5F1" w14:textId="77777777" w:rsidR="007A49A1" w:rsidRPr="00392BE0" w:rsidRDefault="007A49A1" w:rsidP="00392BE0">
      <w:pPr>
        <w:widowControl/>
        <w:autoSpaceDE/>
        <w:autoSpaceDN/>
        <w:adjustRightInd/>
        <w:spacing w:before="120"/>
        <w:outlineLvl w:val="2"/>
        <w:rPr>
          <w:rFonts w:cs="Times New Roman"/>
        </w:rPr>
      </w:pPr>
      <w:r w:rsidRPr="00392BE0">
        <w:rPr>
          <w:rFonts w:cs="Times New Roman"/>
        </w:rPr>
        <w:t xml:space="preserve">Le </w:t>
      </w:r>
      <w:r w:rsidR="008248CD" w:rsidRPr="00392BE0">
        <w:rPr>
          <w:rFonts w:cs="Times New Roman"/>
        </w:rPr>
        <w:t>Titulaire</w:t>
      </w:r>
      <w:r w:rsidRPr="00392BE0">
        <w:rPr>
          <w:rFonts w:cs="Times New Roman"/>
        </w:rPr>
        <w:t xml:space="preserve"> s'engage à remplacer le ou les collaborateurs défaillants, de façon à assurer le service rendu au CNC dans les mêmes conditions de qualité et de délai que celles prévues.</w:t>
      </w:r>
    </w:p>
    <w:p w14:paraId="6337C294" w14:textId="77777777" w:rsidR="007A49A1" w:rsidRPr="00392BE0" w:rsidRDefault="007A49A1" w:rsidP="00392BE0">
      <w:pPr>
        <w:widowControl/>
        <w:autoSpaceDE/>
        <w:autoSpaceDN/>
        <w:adjustRightInd/>
        <w:spacing w:before="120"/>
        <w:outlineLvl w:val="2"/>
        <w:rPr>
          <w:rFonts w:cs="Times New Roman"/>
        </w:rPr>
      </w:pPr>
      <w:r w:rsidRPr="00392BE0">
        <w:rPr>
          <w:rFonts w:cs="Times New Roman"/>
        </w:rPr>
        <w:lastRenderedPageBreak/>
        <w:t xml:space="preserve">Le </w:t>
      </w:r>
      <w:r w:rsidR="008248CD" w:rsidRPr="00392BE0">
        <w:rPr>
          <w:rFonts w:cs="Times New Roman"/>
        </w:rPr>
        <w:t>Titulaire</w:t>
      </w:r>
      <w:r w:rsidRPr="00392BE0">
        <w:rPr>
          <w:rFonts w:cs="Times New Roman"/>
        </w:rPr>
        <w:t xml:space="preserve"> s'engage à assurer l'exécution de la mission avec l'aide de collaborateurs d'un niveau adapté aux travaux à effectuer dans le respect des règles d'éthique professionnelle.</w:t>
      </w:r>
    </w:p>
    <w:p w14:paraId="6D309469" w14:textId="77777777" w:rsidR="00141C7B" w:rsidRPr="003B07B6" w:rsidRDefault="00141C7B" w:rsidP="003B07B6">
      <w:pPr>
        <w:pStyle w:val="Titre2"/>
      </w:pPr>
      <w:bookmarkStart w:id="173" w:name="_Toc192936535"/>
      <w:bookmarkStart w:id="174" w:name="_Toc193265066"/>
      <w:bookmarkStart w:id="175" w:name="_Toc199058839"/>
      <w:bookmarkStart w:id="176" w:name="_Toc205292844"/>
      <w:bookmarkStart w:id="177" w:name="_Toc431279933"/>
      <w:bookmarkStart w:id="178" w:name="_Toc220490787"/>
      <w:bookmarkEnd w:id="171"/>
      <w:bookmarkEnd w:id="172"/>
      <w:r w:rsidRPr="003B07B6">
        <w:t>Formes des communications</w:t>
      </w:r>
      <w:bookmarkEnd w:id="173"/>
      <w:bookmarkEnd w:id="174"/>
      <w:bookmarkEnd w:id="175"/>
      <w:bookmarkEnd w:id="176"/>
      <w:bookmarkEnd w:id="177"/>
      <w:bookmarkEnd w:id="178"/>
    </w:p>
    <w:p w14:paraId="2B89A34B" w14:textId="77777777" w:rsidR="008F0C2E" w:rsidRPr="008F0C2E" w:rsidRDefault="008F0C2E" w:rsidP="008F0C2E">
      <w:pPr>
        <w:widowControl/>
        <w:autoSpaceDE/>
        <w:autoSpaceDN/>
        <w:adjustRightInd/>
        <w:spacing w:before="120"/>
        <w:outlineLvl w:val="2"/>
        <w:rPr>
          <w:rFonts w:cs="Times New Roman"/>
        </w:rPr>
      </w:pPr>
      <w:r w:rsidRPr="008F0C2E">
        <w:rPr>
          <w:rFonts w:cs="Times New Roman"/>
        </w:rPr>
        <w:t>Les communications entre le Titulaire et le CNC s’effectuent soit par lettre recommandée avec accusé de réception, soit par courrier électronique, soit via le profil d’acheteur du CNC.</w:t>
      </w:r>
    </w:p>
    <w:p w14:paraId="5A4A3FFF" w14:textId="66C10547" w:rsidR="008F0C2E" w:rsidRPr="00EB005F" w:rsidRDefault="008F0C2E" w:rsidP="008F0C2E">
      <w:pPr>
        <w:widowControl/>
        <w:autoSpaceDE/>
        <w:autoSpaceDN/>
        <w:adjustRightInd/>
        <w:spacing w:before="120"/>
        <w:outlineLvl w:val="2"/>
        <w:rPr>
          <w:rFonts w:cs="Times New Roman"/>
        </w:rPr>
      </w:pPr>
      <w:r w:rsidRPr="008F0C2E">
        <w:rPr>
          <w:rFonts w:cs="Times New Roman"/>
        </w:rPr>
        <w:t xml:space="preserve">Par </w:t>
      </w:r>
      <w:r w:rsidRPr="00EB005F">
        <w:rPr>
          <w:rFonts w:cs="Times New Roman"/>
        </w:rPr>
        <w:t xml:space="preserve">dérogation à l’article 3.1.2 du CCAG-PI, la date et, le cas échéant, l’heure de réception mentionnées sur un récépissé sont considérées comme celles de la notification. </w:t>
      </w:r>
    </w:p>
    <w:p w14:paraId="16C5346B" w14:textId="6D860BFA" w:rsidR="008F0C2E" w:rsidRDefault="008F0C2E" w:rsidP="008F0C2E">
      <w:pPr>
        <w:widowControl/>
        <w:autoSpaceDE/>
        <w:autoSpaceDN/>
        <w:adjustRightInd/>
        <w:spacing w:before="120"/>
        <w:outlineLvl w:val="2"/>
        <w:rPr>
          <w:rFonts w:cs="Times New Roman"/>
        </w:rPr>
      </w:pPr>
      <w:r w:rsidRPr="00EB005F">
        <w:rPr>
          <w:rFonts w:cs="Times New Roman"/>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2 jours à compter de la date de mise à disposition du document sur le profil d’acheteur, à l’issue de ce délai.</w:t>
      </w:r>
    </w:p>
    <w:p w14:paraId="342A42B2" w14:textId="77777777" w:rsidR="008F0C2E" w:rsidRPr="008F0C2E" w:rsidRDefault="008F0C2E" w:rsidP="008F0C2E">
      <w:pPr>
        <w:pStyle w:val="Titre2"/>
      </w:pPr>
      <w:bookmarkStart w:id="179" w:name="_Toc139029643"/>
      <w:bookmarkStart w:id="180" w:name="_Toc144730400"/>
      <w:bookmarkStart w:id="181" w:name="_Toc220490788"/>
      <w:r w:rsidRPr="008F0C2E">
        <w:t>Personne nommément désignée</w:t>
      </w:r>
      <w:bookmarkEnd w:id="179"/>
      <w:bookmarkEnd w:id="180"/>
      <w:bookmarkEnd w:id="181"/>
    </w:p>
    <w:p w14:paraId="544D8838" w14:textId="6D473FAD" w:rsidR="008F0C2E" w:rsidRPr="00EB005F" w:rsidRDefault="008F0C2E" w:rsidP="008F0C2E">
      <w:r w:rsidRPr="008F0C2E">
        <w:t xml:space="preserve">Par dérogation à </w:t>
      </w:r>
      <w:r w:rsidRPr="00EB005F">
        <w:t xml:space="preserve">l’article 3.4.3 du CCAG-PI lorsqu’un membre de l’équipe dédiée démissionne ou n’est plus en mesure d’accomplir les tâches qui lui sont confiés en application du présent marché, le titulaire doit : </w:t>
      </w:r>
    </w:p>
    <w:p w14:paraId="3D6FB937" w14:textId="77777777" w:rsidR="008F0C2E" w:rsidRPr="00EB005F" w:rsidRDefault="008F0C2E" w:rsidP="00205AB7">
      <w:pPr>
        <w:pStyle w:val="Paragraphedeliste"/>
        <w:numPr>
          <w:ilvl w:val="0"/>
          <w:numId w:val="8"/>
        </w:numPr>
        <w:rPr>
          <w:rFonts w:cs="Times New Roman"/>
        </w:rPr>
      </w:pPr>
      <w:proofErr w:type="gramStart"/>
      <w:r w:rsidRPr="00EB005F">
        <w:rPr>
          <w:rFonts w:cs="Times New Roman"/>
        </w:rPr>
        <w:t>en</w:t>
      </w:r>
      <w:proofErr w:type="gramEnd"/>
      <w:r w:rsidRPr="00EB005F">
        <w:rPr>
          <w:rFonts w:cs="Times New Roman"/>
        </w:rPr>
        <w:t xml:space="preserve"> informer sans délai le CNC et prendre toutes dispositions nécessaires afin d’assurer la poursuite de l’exécution des prestations ; </w:t>
      </w:r>
    </w:p>
    <w:p w14:paraId="022149E7" w14:textId="77777777" w:rsidR="008F0C2E" w:rsidRPr="008F0C2E" w:rsidRDefault="008F0C2E" w:rsidP="00205AB7">
      <w:pPr>
        <w:pStyle w:val="Paragraphedeliste"/>
        <w:numPr>
          <w:ilvl w:val="0"/>
          <w:numId w:val="8"/>
        </w:numPr>
        <w:rPr>
          <w:rFonts w:cs="Times New Roman"/>
        </w:rPr>
      </w:pPr>
      <w:proofErr w:type="gramStart"/>
      <w:r w:rsidRPr="00EB005F">
        <w:rPr>
          <w:rFonts w:cs="Times New Roman"/>
        </w:rPr>
        <w:t>proposer</w:t>
      </w:r>
      <w:proofErr w:type="gramEnd"/>
      <w:r w:rsidRPr="00EB005F">
        <w:rPr>
          <w:rFonts w:cs="Times New Roman"/>
        </w:rPr>
        <w:t xml:space="preserve"> au CNC un remplaçant</w:t>
      </w:r>
      <w:r w:rsidRPr="008F0C2E">
        <w:rPr>
          <w:rFonts w:cs="Times New Roman"/>
        </w:rPr>
        <w:t xml:space="preserve"> disposant de compétences au moins équivalentes et dont il lui communique le nom et le curriculum vitae dans un délai de trente jours à compter de la date d’envoi de l’avis mentionné à l’alinéa précédent. </w:t>
      </w:r>
    </w:p>
    <w:p w14:paraId="521CCB01" w14:textId="77777777" w:rsidR="008F0C2E" w:rsidRPr="008F0C2E" w:rsidRDefault="008F0C2E" w:rsidP="008F0C2E">
      <w:pPr>
        <w:widowControl/>
        <w:autoSpaceDE/>
        <w:autoSpaceDN/>
        <w:adjustRightInd/>
        <w:spacing w:before="120"/>
        <w:outlineLvl w:val="2"/>
        <w:rPr>
          <w:rFonts w:cs="Times New Roman"/>
        </w:rPr>
      </w:pPr>
      <w:r w:rsidRPr="008F0C2E">
        <w:rPr>
          <w:rFonts w:cs="Times New Roman"/>
        </w:rPr>
        <w:t xml:space="preserve">Le remplaçant proposé par le titulaire est considéré comme accepté par le CNC, si celui-ci ne le récuse pas dans le délai de trente jours courant à compter de la réception de la communication mentionnée à l’alinéa précédent. </w:t>
      </w:r>
    </w:p>
    <w:p w14:paraId="35A4C606" w14:textId="77777777" w:rsidR="008F0C2E" w:rsidRPr="008F0C2E" w:rsidRDefault="008F0C2E" w:rsidP="008F0C2E">
      <w:pPr>
        <w:widowControl/>
        <w:autoSpaceDE/>
        <w:autoSpaceDN/>
        <w:adjustRightInd/>
        <w:spacing w:before="120"/>
        <w:outlineLvl w:val="2"/>
        <w:rPr>
          <w:rFonts w:cs="Times New Roman"/>
        </w:rPr>
      </w:pPr>
      <w:r w:rsidRPr="008F0C2E">
        <w:rPr>
          <w:rFonts w:cs="Times New Roman"/>
        </w:rPr>
        <w:t xml:space="preserve">Si le CNC récuse le remplaçant, le titulaire dispose de quinze jours pour proposer un autre remplaçant. </w:t>
      </w:r>
    </w:p>
    <w:p w14:paraId="0D4DAACD" w14:textId="461E2ED3" w:rsidR="008F0C2E" w:rsidRPr="008F0C2E" w:rsidRDefault="008F0C2E" w:rsidP="008F0C2E">
      <w:pPr>
        <w:widowControl/>
        <w:autoSpaceDE/>
        <w:autoSpaceDN/>
        <w:adjustRightInd/>
        <w:spacing w:before="120"/>
        <w:outlineLvl w:val="2"/>
      </w:pPr>
      <w:r w:rsidRPr="008F0C2E">
        <w:rPr>
          <w:rFonts w:cs="Times New Roman"/>
        </w:rPr>
        <w:t>La décision de récusation prise par le CNC est motivée. A défaut de proposition de remplaçant par le titulaire ou en cas de récusation des remplaçants par le CNC, le CNC peut appliquer les pénalités prévues au présent CCAP ou résili</w:t>
      </w:r>
      <w:r w:rsidR="00620508">
        <w:rPr>
          <w:rFonts w:cs="Times New Roman"/>
        </w:rPr>
        <w:t>er</w:t>
      </w:r>
      <w:r w:rsidRPr="008F0C2E">
        <w:t xml:space="preserve"> le marché </w:t>
      </w:r>
      <w:r>
        <w:t>pour faute du Titulaire</w:t>
      </w:r>
      <w:r w:rsidRPr="008F0C2E">
        <w:t>.</w:t>
      </w:r>
    </w:p>
    <w:p w14:paraId="39489135" w14:textId="77777777" w:rsidR="00143C4E" w:rsidRDefault="00143C4E" w:rsidP="008711C4">
      <w:pPr>
        <w:pStyle w:val="Titre1"/>
      </w:pPr>
      <w:bookmarkStart w:id="182" w:name="_Toc448150230"/>
      <w:bookmarkStart w:id="183" w:name="_Toc220490789"/>
      <w:bookmarkEnd w:id="161"/>
      <w:r w:rsidRPr="002E16FC">
        <w:t>MODALITES D</w:t>
      </w:r>
      <w:r w:rsidR="002D4932" w:rsidRPr="002E16FC">
        <w:t>E VERIFICATION</w:t>
      </w:r>
      <w:r w:rsidRPr="002E16FC">
        <w:t xml:space="preserve"> DES </w:t>
      </w:r>
      <w:r w:rsidR="001223D9">
        <w:t>PRESTATIONS</w:t>
      </w:r>
      <w:bookmarkEnd w:id="182"/>
      <w:bookmarkEnd w:id="183"/>
    </w:p>
    <w:p w14:paraId="2FF75E78" w14:textId="77777777" w:rsidR="00141C7B" w:rsidRDefault="00141C7B" w:rsidP="00141C7B">
      <w:pPr>
        <w:widowControl/>
        <w:autoSpaceDE/>
        <w:autoSpaceDN/>
        <w:adjustRightInd/>
        <w:spacing w:before="240"/>
        <w:outlineLvl w:val="2"/>
        <w:rPr>
          <w:rFonts w:cs="Times New Roman"/>
        </w:rPr>
      </w:pPr>
      <w:r w:rsidRPr="00141C7B">
        <w:rPr>
          <w:rFonts w:cs="Times New Roman"/>
        </w:rPr>
        <w:t>Il n’est pas dérogé aux dispositions du CCAG-PI.</w:t>
      </w:r>
    </w:p>
    <w:p w14:paraId="3FEFEE9F" w14:textId="77777777" w:rsidR="0054682D" w:rsidRPr="0054682D" w:rsidRDefault="0054682D" w:rsidP="0054682D">
      <w:pPr>
        <w:pStyle w:val="Titre1"/>
      </w:pPr>
      <w:bookmarkStart w:id="184" w:name="_Toc317782171"/>
      <w:bookmarkStart w:id="185" w:name="_Toc327528906"/>
      <w:bookmarkStart w:id="186" w:name="_Toc431279935"/>
      <w:bookmarkStart w:id="187" w:name="_Toc220490790"/>
      <w:r w:rsidRPr="0054682D">
        <w:t>Propriété intellectuelle</w:t>
      </w:r>
      <w:bookmarkEnd w:id="184"/>
      <w:bookmarkEnd w:id="185"/>
      <w:bookmarkEnd w:id="186"/>
      <w:bookmarkEnd w:id="187"/>
    </w:p>
    <w:p w14:paraId="0023FF2E" w14:textId="77777777" w:rsidR="005C3281" w:rsidRPr="00E91775" w:rsidRDefault="005C3281" w:rsidP="005C3281">
      <w:pPr>
        <w:rPr>
          <w:rFonts w:eastAsia="Arial"/>
        </w:rPr>
      </w:pPr>
      <w:r w:rsidRPr="00E91775">
        <w:rPr>
          <w:rFonts w:eastAsia="Arial"/>
        </w:rPr>
        <w:t>Au sens de l’article 35.2.1 du CCAG-PI, l’ensemble des résultats objet du marché sont considérés confidentiels et en conséquence :</w:t>
      </w:r>
    </w:p>
    <w:p w14:paraId="0001351F" w14:textId="77777777" w:rsidR="005C3281" w:rsidRPr="00E91775" w:rsidRDefault="005C3281" w:rsidP="00205AB7">
      <w:pPr>
        <w:pStyle w:val="Paragraphedeliste"/>
        <w:widowControl/>
        <w:numPr>
          <w:ilvl w:val="0"/>
          <w:numId w:val="10"/>
        </w:numPr>
        <w:autoSpaceDE/>
        <w:autoSpaceDN/>
        <w:adjustRightInd/>
        <w:spacing w:before="120" w:line="259" w:lineRule="auto"/>
        <w:rPr>
          <w:rFonts w:eastAsia="Arial"/>
        </w:rPr>
      </w:pPr>
      <w:r w:rsidRPr="00E91775">
        <w:rPr>
          <w:rFonts w:eastAsia="Arial"/>
        </w:rPr>
        <w:t xml:space="preserve">La cession des résultats est consentie au CNC à titre exclusif ; </w:t>
      </w:r>
    </w:p>
    <w:p w14:paraId="495F9C96" w14:textId="77777777" w:rsidR="005C3281" w:rsidRPr="00E91775" w:rsidRDefault="005C3281" w:rsidP="00205AB7">
      <w:pPr>
        <w:pStyle w:val="Paragraphedeliste"/>
        <w:widowControl/>
        <w:numPr>
          <w:ilvl w:val="0"/>
          <w:numId w:val="10"/>
        </w:numPr>
        <w:autoSpaceDE/>
        <w:autoSpaceDN/>
        <w:adjustRightInd/>
        <w:spacing w:before="120" w:line="259" w:lineRule="auto"/>
        <w:rPr>
          <w:rFonts w:eastAsia="Arial"/>
        </w:rPr>
      </w:pPr>
      <w:r w:rsidRPr="00E91775">
        <w:rPr>
          <w:rFonts w:eastAsia="Arial"/>
        </w:rPr>
        <w:t>Le titulaire n’est pas autorisé, sans l’accord expresse du CNC, à faire une exploitation commerciale des résultats.</w:t>
      </w:r>
    </w:p>
    <w:p w14:paraId="740702CA" w14:textId="77777777" w:rsidR="005C3281" w:rsidRPr="00E91775" w:rsidRDefault="005C3281" w:rsidP="005C3281">
      <w:pPr>
        <w:rPr>
          <w:rFonts w:eastAsia="Arial"/>
        </w:rPr>
      </w:pPr>
      <w:r w:rsidRPr="00E91775">
        <w:rPr>
          <w:rFonts w:eastAsia="Arial"/>
        </w:rPr>
        <w:t>A titre informatif, les principaux éléments de propriété intellectuelle cédés aux CNC dans le cadre du marché sont rappelés ci-dessous. Ces éléments ne remettent pas en cause les droits acquis aux titres de l’article 35 du CCAG-PI.</w:t>
      </w:r>
    </w:p>
    <w:p w14:paraId="4C02F10C" w14:textId="77777777" w:rsidR="005C3281" w:rsidRPr="00DD50F3" w:rsidRDefault="005C3281" w:rsidP="005C3281">
      <w:pPr>
        <w:rPr>
          <w:rFonts w:eastAsia="Arial"/>
        </w:rPr>
      </w:pPr>
      <w:r w:rsidRPr="00E91775">
        <w:rPr>
          <w:rFonts w:eastAsia="Arial"/>
        </w:rPr>
        <w:t>L'autorisation d'exploiter ainsi que les droits décrits ci-dessous sont cédés au CNC, avec possibilité pour ce dernier de les concéder ou de les céder à tout tiers de son choix, pour le monde entier et pour une durée égale à la durée légale de protection des droits d'auteur, sans limitation en nombre de reproductions ou de représentations.</w:t>
      </w:r>
    </w:p>
    <w:p w14:paraId="27E64854" w14:textId="77777777" w:rsidR="005C3281" w:rsidRPr="00EC68BE" w:rsidRDefault="005C3281" w:rsidP="005C3281">
      <w:pPr>
        <w:pStyle w:val="Titre2"/>
        <w:keepLines/>
        <w:tabs>
          <w:tab w:val="clear" w:pos="993"/>
        </w:tabs>
        <w:spacing w:line="259" w:lineRule="auto"/>
        <w:ind w:left="574" w:hanging="432"/>
      </w:pPr>
      <w:bookmarkStart w:id="188" w:name="_Toc66786890"/>
      <w:bookmarkStart w:id="189" w:name="_Toc201758362"/>
      <w:bookmarkStart w:id="190" w:name="_Toc220490791"/>
      <w:r>
        <w:t xml:space="preserve">Identification des </w:t>
      </w:r>
      <w:r w:rsidRPr="001774C2">
        <w:t>droits</w:t>
      </w:r>
      <w:r>
        <w:t xml:space="preserve"> cédés</w:t>
      </w:r>
      <w:bookmarkEnd w:id="188"/>
      <w:bookmarkEnd w:id="189"/>
      <w:bookmarkEnd w:id="190"/>
      <w:r>
        <w:t xml:space="preserve"> </w:t>
      </w:r>
    </w:p>
    <w:p w14:paraId="487198BB" w14:textId="77777777" w:rsidR="005C3281" w:rsidRPr="00797337" w:rsidRDefault="005C3281" w:rsidP="005C3281">
      <w:pPr>
        <w:rPr>
          <w:rFonts w:eastAsia="Arial"/>
        </w:rPr>
      </w:pPr>
      <w:r w:rsidRPr="00797337">
        <w:rPr>
          <w:rFonts w:eastAsia="Arial"/>
        </w:rPr>
        <w:t>Le titulaire cède au CNC les droits patrimoniaux attachés aux résultats, et notamment les droits :</w:t>
      </w:r>
    </w:p>
    <w:p w14:paraId="48FD0C15" w14:textId="77777777" w:rsidR="005C3281" w:rsidRPr="00797337" w:rsidRDefault="005C3281" w:rsidP="00205AB7">
      <w:pPr>
        <w:pStyle w:val="Paragraphedeliste"/>
        <w:numPr>
          <w:ilvl w:val="0"/>
          <w:numId w:val="11"/>
        </w:numPr>
        <w:rPr>
          <w:rFonts w:eastAsia="Arial"/>
        </w:rPr>
      </w:pPr>
      <w:proofErr w:type="gramStart"/>
      <w:r w:rsidRPr="00797337">
        <w:rPr>
          <w:rFonts w:eastAsia="Arial"/>
        </w:rPr>
        <w:lastRenderedPageBreak/>
        <w:t>de</w:t>
      </w:r>
      <w:proofErr w:type="gramEnd"/>
      <w:r w:rsidRPr="00797337">
        <w:rPr>
          <w:rFonts w:eastAsia="Arial"/>
        </w:rPr>
        <w:t xml:space="preserve"> les reproduire par tout moyen ;</w:t>
      </w:r>
    </w:p>
    <w:p w14:paraId="2EC56CC7" w14:textId="77777777" w:rsidR="005C3281" w:rsidRPr="00797337" w:rsidRDefault="005C3281" w:rsidP="00205AB7">
      <w:pPr>
        <w:pStyle w:val="Paragraphedeliste"/>
        <w:numPr>
          <w:ilvl w:val="0"/>
          <w:numId w:val="11"/>
        </w:numPr>
        <w:rPr>
          <w:rFonts w:eastAsia="Arial"/>
        </w:rPr>
      </w:pPr>
      <w:proofErr w:type="gramStart"/>
      <w:r w:rsidRPr="00797337">
        <w:rPr>
          <w:rFonts w:eastAsia="Arial"/>
        </w:rPr>
        <w:t>de</w:t>
      </w:r>
      <w:proofErr w:type="gramEnd"/>
      <w:r w:rsidRPr="00797337">
        <w:rPr>
          <w:rFonts w:eastAsia="Arial"/>
        </w:rPr>
        <w:t xml:space="preserve"> les représenter ;</w:t>
      </w:r>
    </w:p>
    <w:p w14:paraId="66EADE64" w14:textId="77777777" w:rsidR="005C3281" w:rsidRPr="00797337" w:rsidRDefault="005C3281" w:rsidP="00205AB7">
      <w:pPr>
        <w:pStyle w:val="Paragraphedeliste"/>
        <w:numPr>
          <w:ilvl w:val="0"/>
          <w:numId w:val="11"/>
        </w:numPr>
        <w:rPr>
          <w:rFonts w:eastAsia="Arial"/>
        </w:rPr>
      </w:pPr>
      <w:proofErr w:type="gramStart"/>
      <w:r w:rsidRPr="00797337">
        <w:rPr>
          <w:rFonts w:eastAsia="Arial"/>
        </w:rPr>
        <w:t>de</w:t>
      </w:r>
      <w:proofErr w:type="gramEnd"/>
      <w:r w:rsidRPr="00797337">
        <w:rPr>
          <w:rFonts w:eastAsia="Arial"/>
        </w:rPr>
        <w:t xml:space="preserve"> les utiliser et les diffuser ;</w:t>
      </w:r>
    </w:p>
    <w:p w14:paraId="5B6282D6" w14:textId="77777777" w:rsidR="005C3281" w:rsidRPr="00797337" w:rsidRDefault="005C3281" w:rsidP="00205AB7">
      <w:pPr>
        <w:pStyle w:val="Paragraphedeliste"/>
        <w:numPr>
          <w:ilvl w:val="0"/>
          <w:numId w:val="11"/>
        </w:numPr>
        <w:rPr>
          <w:rFonts w:eastAsia="Arial"/>
        </w:rPr>
      </w:pPr>
      <w:proofErr w:type="gramStart"/>
      <w:r w:rsidRPr="00797337">
        <w:rPr>
          <w:rFonts w:eastAsia="Arial"/>
        </w:rPr>
        <w:t>de</w:t>
      </w:r>
      <w:proofErr w:type="gramEnd"/>
      <w:r w:rsidRPr="00797337">
        <w:rPr>
          <w:rFonts w:eastAsia="Arial"/>
        </w:rPr>
        <w:t xml:space="preserve"> les modifier, les adapter, les traduire, y faire des adjonctions ou suppressions, les adapter pour les publics en situation de handicap visuel ou auditif ;</w:t>
      </w:r>
    </w:p>
    <w:p w14:paraId="6D4223C8" w14:textId="77777777" w:rsidR="005C3281" w:rsidRPr="00797337" w:rsidRDefault="005C3281" w:rsidP="00205AB7">
      <w:pPr>
        <w:pStyle w:val="Paragraphedeliste"/>
        <w:numPr>
          <w:ilvl w:val="0"/>
          <w:numId w:val="11"/>
        </w:numPr>
        <w:rPr>
          <w:rFonts w:eastAsia="Arial"/>
        </w:rPr>
      </w:pPr>
      <w:proofErr w:type="gramStart"/>
      <w:r w:rsidRPr="00797337">
        <w:rPr>
          <w:rFonts w:eastAsia="Arial"/>
        </w:rPr>
        <w:t>de</w:t>
      </w:r>
      <w:proofErr w:type="gramEnd"/>
      <w:r w:rsidRPr="00797337">
        <w:rPr>
          <w:rFonts w:eastAsia="Arial"/>
        </w:rPr>
        <w:t xml:space="preserve"> les incorporer, en tout ou partie, à tout document préexistant ou à créer.</w:t>
      </w:r>
    </w:p>
    <w:p w14:paraId="1D6399E8" w14:textId="77777777" w:rsidR="005C3281" w:rsidRPr="00EC68BE" w:rsidRDefault="005C3281" w:rsidP="005C3281">
      <w:pPr>
        <w:pStyle w:val="Titre2"/>
        <w:keepLines/>
        <w:tabs>
          <w:tab w:val="clear" w:pos="993"/>
        </w:tabs>
        <w:spacing w:line="259" w:lineRule="auto"/>
        <w:ind w:left="574" w:hanging="432"/>
      </w:pPr>
      <w:bookmarkStart w:id="191" w:name="_Toc66786891"/>
      <w:bookmarkStart w:id="192" w:name="_Toc201758363"/>
      <w:bookmarkStart w:id="193" w:name="_Toc220490792"/>
      <w:r w:rsidRPr="00EC68BE">
        <w:t>Mod</w:t>
      </w:r>
      <w:r>
        <w:t xml:space="preserve">es </w:t>
      </w:r>
      <w:r w:rsidRPr="001774C2">
        <w:t>d’exploitation</w:t>
      </w:r>
      <w:r>
        <w:t xml:space="preserve"> des droits cédés</w:t>
      </w:r>
      <w:bookmarkEnd w:id="191"/>
      <w:bookmarkEnd w:id="192"/>
      <w:bookmarkEnd w:id="193"/>
      <w:r>
        <w:t xml:space="preserve"> </w:t>
      </w:r>
    </w:p>
    <w:p w14:paraId="111422A4" w14:textId="77777777" w:rsidR="005C3281" w:rsidRPr="00E9153F" w:rsidRDefault="005C3281" w:rsidP="005C3281">
      <w:pPr>
        <w:pStyle w:val="Titre3"/>
        <w:keepLines/>
        <w:widowControl/>
        <w:tabs>
          <w:tab w:val="clear" w:pos="1277"/>
        </w:tabs>
        <w:autoSpaceDE/>
        <w:autoSpaceDN/>
        <w:adjustRightInd/>
        <w:spacing w:after="120" w:line="259" w:lineRule="auto"/>
        <w:ind w:left="1224" w:hanging="504"/>
        <w:rPr>
          <w:rFonts w:eastAsia="Arial"/>
        </w:rPr>
      </w:pPr>
      <w:bookmarkStart w:id="194" w:name="_Toc201758364"/>
      <w:r w:rsidRPr="00E9153F">
        <w:rPr>
          <w:rFonts w:eastAsia="Arial"/>
        </w:rPr>
        <w:t xml:space="preserve">Le droit de </w:t>
      </w:r>
      <w:r w:rsidRPr="00DD50F3">
        <w:t>reproduction</w:t>
      </w:r>
      <w:bookmarkEnd w:id="194"/>
    </w:p>
    <w:p w14:paraId="4C819A63" w14:textId="77777777" w:rsidR="005C3281" w:rsidRPr="00E9153F" w:rsidRDefault="005C3281" w:rsidP="005C3281">
      <w:pPr>
        <w:rPr>
          <w:rFonts w:eastAsia="Arial"/>
        </w:rPr>
      </w:pPr>
      <w:r w:rsidRPr="00E9153F">
        <w:rPr>
          <w:rFonts w:eastAsia="Arial"/>
        </w:rPr>
        <w:t>Le droit de reproduction comporte :</w:t>
      </w:r>
    </w:p>
    <w:p w14:paraId="230C9345" w14:textId="77777777" w:rsidR="005C3281" w:rsidRPr="00E9153F" w:rsidRDefault="005C3281" w:rsidP="00205AB7">
      <w:pPr>
        <w:pStyle w:val="Paragraphedeliste"/>
        <w:numPr>
          <w:ilvl w:val="0"/>
          <w:numId w:val="12"/>
        </w:numPr>
        <w:rPr>
          <w:rFonts w:eastAsia="Arial"/>
        </w:rPr>
      </w:pPr>
      <w:proofErr w:type="gramStart"/>
      <w:r w:rsidRPr="00E9153F">
        <w:rPr>
          <w:rFonts w:eastAsia="Arial"/>
        </w:rPr>
        <w:t>le</w:t>
      </w:r>
      <w:proofErr w:type="gramEnd"/>
      <w:r w:rsidRPr="00E9153F">
        <w:rPr>
          <w:rFonts w:eastAsia="Arial"/>
        </w:rPr>
        <w:t xml:space="preserve"> droit d'établir ou de faire établir tous les originaux, doubles, copies des résultats quels qu’ils soient par tous moyens et sur tous supports, papier ou électronique, en ligne ou hors ligne, et plus généralement sur tout support connu ou à venir ;</w:t>
      </w:r>
    </w:p>
    <w:p w14:paraId="347A8699" w14:textId="77777777" w:rsidR="005C3281" w:rsidRPr="00E9153F" w:rsidRDefault="005C3281" w:rsidP="00205AB7">
      <w:pPr>
        <w:pStyle w:val="Paragraphedeliste"/>
        <w:numPr>
          <w:ilvl w:val="0"/>
          <w:numId w:val="12"/>
        </w:numPr>
        <w:rPr>
          <w:rFonts w:eastAsia="Arial"/>
        </w:rPr>
      </w:pPr>
      <w:proofErr w:type="gramStart"/>
      <w:r w:rsidRPr="00E9153F">
        <w:rPr>
          <w:rFonts w:eastAsia="Arial"/>
        </w:rPr>
        <w:t>le</w:t>
      </w:r>
      <w:proofErr w:type="gramEnd"/>
      <w:r w:rsidRPr="00E9153F">
        <w:rPr>
          <w:rFonts w:eastAsia="Arial"/>
        </w:rPr>
        <w:t xml:space="preserve"> droit de mettre ou de faire mettre en circulation ces originaux, doubles ou copies en vue de permettre l'exercice des droits de représentations définis ci-dessous.</w:t>
      </w:r>
    </w:p>
    <w:p w14:paraId="5B8A6ED3" w14:textId="77777777" w:rsidR="005C3281" w:rsidRPr="00717B30" w:rsidRDefault="005C3281" w:rsidP="005C3281">
      <w:pPr>
        <w:pStyle w:val="Titre3"/>
        <w:keepLines/>
        <w:widowControl/>
        <w:tabs>
          <w:tab w:val="clear" w:pos="1277"/>
        </w:tabs>
        <w:autoSpaceDE/>
        <w:autoSpaceDN/>
        <w:adjustRightInd/>
        <w:spacing w:after="120" w:line="259" w:lineRule="auto"/>
        <w:ind w:left="1224" w:hanging="504"/>
        <w:rPr>
          <w:rFonts w:eastAsia="Arial"/>
        </w:rPr>
      </w:pPr>
      <w:bookmarkStart w:id="195" w:name="_Toc201758365"/>
      <w:r w:rsidRPr="00717B30">
        <w:rPr>
          <w:rFonts w:eastAsia="Arial"/>
        </w:rPr>
        <w:t>Le droit de représentation</w:t>
      </w:r>
      <w:bookmarkEnd w:id="195"/>
    </w:p>
    <w:p w14:paraId="68CA8D49" w14:textId="77777777" w:rsidR="005C3281" w:rsidRPr="00F57371" w:rsidRDefault="005C3281" w:rsidP="005C3281">
      <w:pPr>
        <w:rPr>
          <w:rFonts w:eastAsia="Arial"/>
        </w:rPr>
      </w:pPr>
      <w:r w:rsidRPr="00F57371">
        <w:rPr>
          <w:rFonts w:eastAsia="Arial"/>
        </w:rPr>
        <w:t>Le droit de représentation comporte :</w:t>
      </w:r>
    </w:p>
    <w:p w14:paraId="3D9B144B" w14:textId="77777777" w:rsidR="005C3281" w:rsidRPr="00E9153F" w:rsidRDefault="005C3281" w:rsidP="00205AB7">
      <w:pPr>
        <w:pStyle w:val="Paragraphedeliste"/>
        <w:numPr>
          <w:ilvl w:val="0"/>
          <w:numId w:val="12"/>
        </w:numPr>
        <w:rPr>
          <w:rFonts w:eastAsia="Arial"/>
        </w:rPr>
      </w:pPr>
      <w:proofErr w:type="gramStart"/>
      <w:r w:rsidRPr="00E9153F">
        <w:rPr>
          <w:rFonts w:eastAsia="Arial"/>
        </w:rPr>
        <w:t>le</w:t>
      </w:r>
      <w:proofErr w:type="gramEnd"/>
      <w:r w:rsidRPr="00E9153F">
        <w:rPr>
          <w:rFonts w:eastAsia="Arial"/>
        </w:rPr>
        <w:t xml:space="preserve"> droit de représenter ou de faire représenter les résultats du marché, en tout ou partie, notamment</w:t>
      </w:r>
      <w:r>
        <w:rPr>
          <w:rFonts w:eastAsia="Arial"/>
        </w:rPr>
        <w:t xml:space="preserve"> sur internet, dans des établissements scolaires, périscolaires, hospitalier, gériatrique, carcéraux et semi-carcéraux,</w:t>
      </w:r>
      <w:r w:rsidRPr="00E9153F">
        <w:rPr>
          <w:rFonts w:eastAsia="Arial"/>
        </w:rPr>
        <w:t xml:space="preserve"> à la télévision</w:t>
      </w:r>
      <w:r>
        <w:rPr>
          <w:rFonts w:eastAsia="Arial"/>
        </w:rPr>
        <w:t xml:space="preserve"> ou</w:t>
      </w:r>
      <w:r w:rsidRPr="00E9153F">
        <w:rPr>
          <w:rFonts w:eastAsia="Arial"/>
        </w:rPr>
        <w:t xml:space="preserve"> en salle de cinéma</w:t>
      </w:r>
      <w:r>
        <w:rPr>
          <w:rFonts w:eastAsia="Arial"/>
        </w:rPr>
        <w:t xml:space="preserve"> ainsi que de manière générale, dans les structures du champs social (sans que cette liste soit exhaustive : MJC, foyers, hébergement d’urgence et lieux d’accueil, etc.) ;</w:t>
      </w:r>
    </w:p>
    <w:p w14:paraId="016654DF" w14:textId="77777777" w:rsidR="005C3281" w:rsidRPr="00E9153F" w:rsidRDefault="005C3281" w:rsidP="00205AB7">
      <w:pPr>
        <w:pStyle w:val="Paragraphedeliste"/>
        <w:numPr>
          <w:ilvl w:val="0"/>
          <w:numId w:val="12"/>
        </w:numPr>
        <w:rPr>
          <w:rFonts w:eastAsia="Arial"/>
        </w:rPr>
      </w:pPr>
      <w:proofErr w:type="gramStart"/>
      <w:r w:rsidRPr="00E9153F">
        <w:rPr>
          <w:rFonts w:eastAsia="Arial"/>
        </w:rPr>
        <w:t>par</w:t>
      </w:r>
      <w:proofErr w:type="gramEnd"/>
      <w:r w:rsidRPr="00E9153F">
        <w:rPr>
          <w:rFonts w:eastAsia="Arial"/>
        </w:rPr>
        <w:t xml:space="preserve"> mise à disposition au public et notamment lors de la passation de marchés publics ultérieurs.</w:t>
      </w:r>
    </w:p>
    <w:p w14:paraId="4DD29766" w14:textId="77777777" w:rsidR="005C3281" w:rsidRPr="00F57371" w:rsidRDefault="005C3281" w:rsidP="005C3281">
      <w:pPr>
        <w:pStyle w:val="Titre3"/>
        <w:keepLines/>
        <w:widowControl/>
        <w:tabs>
          <w:tab w:val="clear" w:pos="1277"/>
        </w:tabs>
        <w:autoSpaceDE/>
        <w:autoSpaceDN/>
        <w:adjustRightInd/>
        <w:spacing w:after="120" w:line="259" w:lineRule="auto"/>
        <w:ind w:left="1224" w:hanging="504"/>
        <w:rPr>
          <w:rFonts w:eastAsia="Arial"/>
        </w:rPr>
      </w:pPr>
      <w:bookmarkStart w:id="196" w:name="_Toc201758366"/>
      <w:r w:rsidRPr="00F57371">
        <w:rPr>
          <w:rFonts w:eastAsia="Arial"/>
        </w:rPr>
        <w:t>Le droit d'adaptation</w:t>
      </w:r>
      <w:bookmarkEnd w:id="196"/>
    </w:p>
    <w:p w14:paraId="2306FA3A" w14:textId="77777777" w:rsidR="005C3281" w:rsidRPr="00F57371" w:rsidRDefault="005C3281" w:rsidP="005C3281">
      <w:pPr>
        <w:rPr>
          <w:rFonts w:eastAsia="Arial"/>
        </w:rPr>
      </w:pPr>
      <w:r w:rsidRPr="00F57371">
        <w:rPr>
          <w:rFonts w:eastAsia="Arial"/>
        </w:rPr>
        <w:t>Le droit d'adaptation comporte le droit pour le CNC :</w:t>
      </w:r>
    </w:p>
    <w:p w14:paraId="5DBA3DAA" w14:textId="70F5ACF2" w:rsidR="005C3281" w:rsidRPr="000B6108" w:rsidRDefault="005C3281" w:rsidP="00205AB7">
      <w:pPr>
        <w:pStyle w:val="Paragraphedeliste"/>
        <w:numPr>
          <w:ilvl w:val="0"/>
          <w:numId w:val="12"/>
        </w:numPr>
        <w:spacing w:after="160"/>
        <w:jc w:val="left"/>
        <w:rPr>
          <w:rFonts w:eastAsia="Arial"/>
        </w:rPr>
      </w:pPr>
      <w:proofErr w:type="gramStart"/>
      <w:r w:rsidRPr="000B6108">
        <w:rPr>
          <w:rFonts w:eastAsia="Arial"/>
        </w:rPr>
        <w:t>de</w:t>
      </w:r>
      <w:proofErr w:type="gramEnd"/>
      <w:r w:rsidRPr="000B6108">
        <w:rPr>
          <w:rFonts w:eastAsia="Arial"/>
        </w:rPr>
        <w:t xml:space="preserve"> procéder ou de faire procéder aux traductions, adaptations et, sous réserve du droit moral des auteurs, additions ou suppressions nécessaires à l’exercice des droits de représentation définis ci-dessus.</w:t>
      </w:r>
    </w:p>
    <w:p w14:paraId="4CDC7E3F" w14:textId="77777777" w:rsidR="005C3281" w:rsidRPr="00F57371" w:rsidRDefault="005C3281" w:rsidP="005C3281">
      <w:pPr>
        <w:pStyle w:val="Titre3"/>
        <w:keepLines/>
        <w:widowControl/>
        <w:tabs>
          <w:tab w:val="clear" w:pos="1277"/>
        </w:tabs>
        <w:autoSpaceDE/>
        <w:autoSpaceDN/>
        <w:adjustRightInd/>
        <w:spacing w:after="120" w:line="259" w:lineRule="auto"/>
        <w:ind w:left="1224" w:hanging="504"/>
        <w:rPr>
          <w:rFonts w:eastAsia="Arial"/>
        </w:rPr>
      </w:pPr>
      <w:bookmarkStart w:id="197" w:name="_Toc201758367"/>
      <w:r w:rsidRPr="00F57371">
        <w:rPr>
          <w:rFonts w:eastAsia="Arial"/>
        </w:rPr>
        <w:t xml:space="preserve">Le droit </w:t>
      </w:r>
      <w:r w:rsidRPr="00DD50F3">
        <w:t>d'utilisation</w:t>
      </w:r>
      <w:r w:rsidRPr="00F57371">
        <w:rPr>
          <w:rFonts w:eastAsia="Arial"/>
        </w:rPr>
        <w:t xml:space="preserve"> secondaire</w:t>
      </w:r>
      <w:bookmarkEnd w:id="197"/>
    </w:p>
    <w:p w14:paraId="41E40869" w14:textId="77777777" w:rsidR="005C3281" w:rsidRPr="00F57371" w:rsidRDefault="005C3281" w:rsidP="005C3281">
      <w:pPr>
        <w:rPr>
          <w:rFonts w:eastAsia="Arial"/>
        </w:rPr>
      </w:pPr>
      <w:r w:rsidRPr="00F57371">
        <w:rPr>
          <w:rFonts w:eastAsia="Arial"/>
        </w:rPr>
        <w:t>Le droit d'utilisation secondaire comporte :</w:t>
      </w:r>
    </w:p>
    <w:p w14:paraId="64236F98" w14:textId="77777777" w:rsidR="005C3281" w:rsidRPr="00E9153F" w:rsidRDefault="005C3281" w:rsidP="00205AB7">
      <w:pPr>
        <w:pStyle w:val="Paragraphedeliste"/>
        <w:numPr>
          <w:ilvl w:val="0"/>
          <w:numId w:val="12"/>
        </w:numPr>
        <w:rPr>
          <w:rFonts w:eastAsia="Arial"/>
        </w:rPr>
      </w:pPr>
      <w:proofErr w:type="gramStart"/>
      <w:r w:rsidRPr="00E9153F">
        <w:rPr>
          <w:rFonts w:eastAsia="Arial"/>
        </w:rPr>
        <w:t>le</w:t>
      </w:r>
      <w:proofErr w:type="gramEnd"/>
      <w:r w:rsidRPr="00E9153F">
        <w:rPr>
          <w:rFonts w:eastAsia="Arial"/>
        </w:rPr>
        <w:t xml:space="preserve"> droit d'utiliser ou d'autoriser l'utilisation, sous réserve du droit moral des auteurs, d'extraits des résultats ainsi que de tout élément entrant dans sa composition ;</w:t>
      </w:r>
    </w:p>
    <w:p w14:paraId="3E7D170D" w14:textId="77777777" w:rsidR="005C3281" w:rsidRPr="00E9153F" w:rsidRDefault="005C3281" w:rsidP="00205AB7">
      <w:pPr>
        <w:pStyle w:val="Paragraphedeliste"/>
        <w:numPr>
          <w:ilvl w:val="0"/>
          <w:numId w:val="12"/>
        </w:numPr>
        <w:rPr>
          <w:rFonts w:eastAsia="Arial"/>
        </w:rPr>
      </w:pPr>
      <w:proofErr w:type="gramStart"/>
      <w:r w:rsidRPr="00E9153F">
        <w:rPr>
          <w:rFonts w:eastAsia="Arial"/>
        </w:rPr>
        <w:t>le</w:t>
      </w:r>
      <w:proofErr w:type="gramEnd"/>
      <w:r w:rsidRPr="00E9153F">
        <w:rPr>
          <w:rFonts w:eastAsia="Arial"/>
        </w:rPr>
        <w:t xml:space="preserve"> droit d’exploiter tout ou partie des résultats sous forme de programme multimédia, notamment sur CD-ROM, CDI, CDV, DVD, Internet et sur tout support connu ou à venir.</w:t>
      </w:r>
    </w:p>
    <w:p w14:paraId="5FEA18B9" w14:textId="77777777" w:rsidR="005C3281" w:rsidRPr="003E076C" w:rsidRDefault="005C3281" w:rsidP="005C3281">
      <w:pPr>
        <w:pStyle w:val="Titre2"/>
        <w:keepLines/>
        <w:tabs>
          <w:tab w:val="clear" w:pos="993"/>
        </w:tabs>
        <w:spacing w:line="259" w:lineRule="auto"/>
        <w:ind w:left="574" w:hanging="432"/>
      </w:pPr>
      <w:bookmarkStart w:id="198" w:name="_Toc66786892"/>
      <w:bookmarkStart w:id="199" w:name="_Toc201758368"/>
      <w:bookmarkStart w:id="200" w:name="_Toc220490793"/>
      <w:r>
        <w:t xml:space="preserve">Lieu de </w:t>
      </w:r>
      <w:r w:rsidRPr="001774C2">
        <w:t>l’exploitation</w:t>
      </w:r>
      <w:bookmarkEnd w:id="198"/>
      <w:bookmarkEnd w:id="199"/>
      <w:bookmarkEnd w:id="200"/>
      <w:r>
        <w:t xml:space="preserve"> </w:t>
      </w:r>
    </w:p>
    <w:p w14:paraId="32C36A98" w14:textId="77777777" w:rsidR="005C3281" w:rsidRPr="008A7D6F" w:rsidRDefault="005C3281" w:rsidP="005C3281">
      <w:pPr>
        <w:rPr>
          <w:rFonts w:eastAsia="Arial"/>
        </w:rPr>
      </w:pPr>
      <w:r w:rsidRPr="008A7D6F">
        <w:rPr>
          <w:rFonts w:eastAsia="Arial"/>
        </w:rPr>
        <w:t xml:space="preserve">La présente </w:t>
      </w:r>
      <w:proofErr w:type="spellStart"/>
      <w:r w:rsidRPr="008A7D6F">
        <w:rPr>
          <w:rFonts w:eastAsia="Arial"/>
        </w:rPr>
        <w:t>cession</w:t>
      </w:r>
      <w:proofErr w:type="spellEnd"/>
      <w:r w:rsidRPr="008A7D6F">
        <w:rPr>
          <w:rFonts w:eastAsia="Arial"/>
        </w:rPr>
        <w:t xml:space="preserve"> est consentie pour le monde entier.</w:t>
      </w:r>
    </w:p>
    <w:p w14:paraId="0DDD0697" w14:textId="77777777" w:rsidR="005C3281" w:rsidRPr="00761E8E" w:rsidRDefault="005C3281" w:rsidP="005C3281">
      <w:pPr>
        <w:pStyle w:val="Titre2"/>
        <w:keepLines/>
        <w:tabs>
          <w:tab w:val="clear" w:pos="993"/>
        </w:tabs>
        <w:spacing w:line="259" w:lineRule="auto"/>
        <w:ind w:left="574" w:hanging="432"/>
      </w:pPr>
      <w:bookmarkStart w:id="201" w:name="_Toc66786893"/>
      <w:bookmarkStart w:id="202" w:name="_Toc201758369"/>
      <w:bookmarkStart w:id="203" w:name="_Toc220490794"/>
      <w:r>
        <w:t xml:space="preserve">Durée </w:t>
      </w:r>
      <w:r w:rsidRPr="001774C2">
        <w:t>de</w:t>
      </w:r>
      <w:r>
        <w:t xml:space="preserve"> l’exploitation</w:t>
      </w:r>
      <w:bookmarkEnd w:id="201"/>
      <w:bookmarkEnd w:id="202"/>
      <w:bookmarkEnd w:id="203"/>
      <w:r>
        <w:t xml:space="preserve"> </w:t>
      </w:r>
    </w:p>
    <w:p w14:paraId="73527943" w14:textId="77777777" w:rsidR="005C3281" w:rsidRPr="008A7D6F" w:rsidRDefault="005C3281" w:rsidP="005C3281">
      <w:pPr>
        <w:rPr>
          <w:rFonts w:eastAsia="Arial"/>
        </w:rPr>
      </w:pPr>
      <w:r w:rsidRPr="008A7D6F">
        <w:rPr>
          <w:rFonts w:eastAsia="Arial"/>
        </w:rPr>
        <w:t xml:space="preserve">La présente </w:t>
      </w:r>
      <w:proofErr w:type="spellStart"/>
      <w:r w:rsidRPr="008A7D6F">
        <w:rPr>
          <w:rFonts w:eastAsia="Arial"/>
        </w:rPr>
        <w:t>cession</w:t>
      </w:r>
      <w:proofErr w:type="spellEnd"/>
      <w:r w:rsidRPr="008A7D6F">
        <w:rPr>
          <w:rFonts w:eastAsia="Arial"/>
        </w:rPr>
        <w:t xml:space="preserve"> est consentie pour toute la durée de protection des droits patrimoniaux d’auteur.</w:t>
      </w:r>
    </w:p>
    <w:p w14:paraId="3E02F833" w14:textId="77777777" w:rsidR="005C3281" w:rsidRPr="00761E8E" w:rsidRDefault="005C3281" w:rsidP="005C3281">
      <w:pPr>
        <w:pStyle w:val="Titre2"/>
        <w:keepLines/>
        <w:tabs>
          <w:tab w:val="clear" w:pos="993"/>
        </w:tabs>
        <w:spacing w:line="259" w:lineRule="auto"/>
        <w:ind w:left="574" w:hanging="432"/>
      </w:pPr>
      <w:bookmarkStart w:id="204" w:name="_Toc66786894"/>
      <w:bookmarkStart w:id="205" w:name="_Toc201758370"/>
      <w:bookmarkStart w:id="206" w:name="_Toc220490795"/>
      <w:r w:rsidRPr="001774C2">
        <w:t>Exclusivité</w:t>
      </w:r>
      <w:bookmarkEnd w:id="204"/>
      <w:bookmarkEnd w:id="205"/>
      <w:bookmarkEnd w:id="206"/>
    </w:p>
    <w:p w14:paraId="12F895EB" w14:textId="77777777" w:rsidR="005C3281" w:rsidRDefault="005C3281" w:rsidP="005C3281">
      <w:pPr>
        <w:rPr>
          <w:rFonts w:eastAsia="Arial"/>
        </w:rPr>
      </w:pPr>
      <w:r w:rsidRPr="008A7D6F">
        <w:rPr>
          <w:rFonts w:eastAsia="Arial"/>
        </w:rPr>
        <w:t xml:space="preserve">La présente </w:t>
      </w:r>
      <w:proofErr w:type="spellStart"/>
      <w:r w:rsidRPr="008A7D6F">
        <w:rPr>
          <w:rFonts w:eastAsia="Arial"/>
        </w:rPr>
        <w:t>cession</w:t>
      </w:r>
      <w:proofErr w:type="spellEnd"/>
      <w:r w:rsidRPr="008A7D6F">
        <w:rPr>
          <w:rFonts w:eastAsia="Arial"/>
        </w:rPr>
        <w:t xml:space="preserve"> de droits est consentie à titre exclusif au CNC.</w:t>
      </w:r>
    </w:p>
    <w:p w14:paraId="659C2698" w14:textId="77777777" w:rsidR="005C3281" w:rsidRPr="001774C2" w:rsidRDefault="005C3281" w:rsidP="005C3281">
      <w:pPr>
        <w:pStyle w:val="Titre2"/>
        <w:keepLines/>
        <w:tabs>
          <w:tab w:val="clear" w:pos="993"/>
        </w:tabs>
        <w:spacing w:line="259" w:lineRule="auto"/>
        <w:ind w:left="0"/>
      </w:pPr>
      <w:bookmarkStart w:id="207" w:name="_Toc201758371"/>
      <w:bookmarkStart w:id="208" w:name="_Toc220490796"/>
      <w:r w:rsidRPr="001774C2">
        <w:lastRenderedPageBreak/>
        <w:t>Prix de cession</w:t>
      </w:r>
      <w:bookmarkEnd w:id="207"/>
      <w:bookmarkEnd w:id="208"/>
    </w:p>
    <w:p w14:paraId="32818756" w14:textId="77777777" w:rsidR="005C3281" w:rsidRDefault="005C3281" w:rsidP="005C3281">
      <w:pPr>
        <w:rPr>
          <w:rFonts w:eastAsia="Arial"/>
        </w:rPr>
      </w:pPr>
      <w:r>
        <w:rPr>
          <w:rFonts w:eastAsia="Arial"/>
        </w:rPr>
        <w:t>Le prix de la cession des droits de propriété intellectuelle sur les résultats est intégralement inclus dans le prix des prestations du BPU.</w:t>
      </w:r>
    </w:p>
    <w:p w14:paraId="553E05A8" w14:textId="77777777" w:rsidR="00143C4E" w:rsidRDefault="00143C4E" w:rsidP="008711C4">
      <w:pPr>
        <w:pStyle w:val="Titre1"/>
      </w:pPr>
      <w:bookmarkStart w:id="209" w:name="_Toc448150231"/>
      <w:bookmarkStart w:id="210" w:name="_Toc220490797"/>
      <w:r>
        <w:t>PRIX DU MARCHE</w:t>
      </w:r>
      <w:bookmarkEnd w:id="209"/>
      <w:bookmarkEnd w:id="210"/>
    </w:p>
    <w:p w14:paraId="476BE701" w14:textId="77777777" w:rsidR="003733BA" w:rsidRPr="003B07B6" w:rsidRDefault="003733BA" w:rsidP="003B07B6">
      <w:pPr>
        <w:pStyle w:val="Titre2"/>
      </w:pPr>
      <w:bookmarkStart w:id="211" w:name="_Toc220490798"/>
      <w:r w:rsidRPr="003B07B6">
        <w:t>Monnaie</w:t>
      </w:r>
      <w:bookmarkEnd w:id="211"/>
    </w:p>
    <w:p w14:paraId="1189FD90" w14:textId="77777777" w:rsidR="003733BA" w:rsidRDefault="003733BA" w:rsidP="003733BA">
      <w:r w:rsidRPr="00033052">
        <w:t>La monnaie de</w:t>
      </w:r>
      <w:r w:rsidR="00266A63">
        <w:t xml:space="preserve"> comptes du </w:t>
      </w:r>
      <w:r w:rsidR="00EE4CE1">
        <w:t>Marché public</w:t>
      </w:r>
      <w:r w:rsidR="00FA42CE">
        <w:t xml:space="preserve"> </w:t>
      </w:r>
      <w:r w:rsidR="00266A63">
        <w:t xml:space="preserve">est l’euro. Le prix libellé en euros </w:t>
      </w:r>
      <w:r w:rsidRPr="00033052">
        <w:t>restera inchangé en cas de variation de change.</w:t>
      </w:r>
    </w:p>
    <w:p w14:paraId="75D13BE0" w14:textId="77777777" w:rsidR="00143C4E" w:rsidRPr="003B07B6" w:rsidRDefault="002D4932" w:rsidP="003B07B6">
      <w:pPr>
        <w:pStyle w:val="Titre2"/>
      </w:pPr>
      <w:bookmarkStart w:id="212" w:name="_Toc448150232"/>
      <w:bookmarkStart w:id="213" w:name="_Toc220490799"/>
      <w:r w:rsidRPr="003B07B6">
        <w:t>Forme des p</w:t>
      </w:r>
      <w:r w:rsidR="00143C4E" w:rsidRPr="003B07B6">
        <w:t>rix</w:t>
      </w:r>
      <w:bookmarkEnd w:id="212"/>
      <w:bookmarkEnd w:id="213"/>
    </w:p>
    <w:p w14:paraId="76F2F3E9" w14:textId="07B49B57" w:rsidR="00960834" w:rsidRDefault="00583E30" w:rsidP="00960834">
      <w:pPr>
        <w:rPr>
          <w:rFonts w:cs="Times New Roman"/>
        </w:rPr>
      </w:pPr>
      <w:r w:rsidRPr="00033052">
        <w:t xml:space="preserve">Le </w:t>
      </w:r>
      <w:r w:rsidR="003775D4">
        <w:t>M</w:t>
      </w:r>
      <w:r w:rsidRPr="00033052">
        <w:t>arché</w:t>
      </w:r>
      <w:r w:rsidR="003775D4">
        <w:t xml:space="preserve"> public</w:t>
      </w:r>
      <w:r w:rsidRPr="00033052">
        <w:t xml:space="preserve"> est traité</w:t>
      </w:r>
      <w:r w:rsidR="00F14990">
        <w:t> </w:t>
      </w:r>
      <w:r w:rsidR="00141C7B">
        <w:t>à prix unitaire</w:t>
      </w:r>
      <w:r w:rsidR="009D4937">
        <w:t>s</w:t>
      </w:r>
      <w:r w:rsidR="00141C7B">
        <w:t xml:space="preserve"> fermes et définitifs par dossier.</w:t>
      </w:r>
    </w:p>
    <w:p w14:paraId="61843571" w14:textId="4D73D16C" w:rsidR="00960834" w:rsidRPr="00960834" w:rsidRDefault="00960834" w:rsidP="00960834">
      <w:pPr>
        <w:rPr>
          <w:rFonts w:cs="Times New Roman"/>
        </w:rPr>
      </w:pPr>
      <w:r w:rsidRPr="00960834">
        <w:rPr>
          <w:rFonts w:cs="Times New Roman"/>
        </w:rPr>
        <w:t xml:space="preserve">Les prix sont précisés en annexe </w:t>
      </w:r>
      <w:r w:rsidR="00797337">
        <w:rPr>
          <w:rFonts w:cs="Times New Roman"/>
        </w:rPr>
        <w:t>1 à</w:t>
      </w:r>
      <w:r w:rsidRPr="00960834">
        <w:rPr>
          <w:rFonts w:cs="Times New Roman"/>
        </w:rPr>
        <w:t xml:space="preserve"> l'acte d'engagement (bordereau des prix). </w:t>
      </w:r>
    </w:p>
    <w:p w14:paraId="1A8A9FE1" w14:textId="77777777" w:rsidR="00143C4E" w:rsidRPr="003B07B6" w:rsidRDefault="00143C4E" w:rsidP="003B07B6">
      <w:pPr>
        <w:pStyle w:val="Titre2"/>
      </w:pPr>
      <w:bookmarkStart w:id="214" w:name="_Toc448150233"/>
      <w:bookmarkStart w:id="215" w:name="_Toc220490800"/>
      <w:r w:rsidRPr="003B07B6">
        <w:t>Contenu d</w:t>
      </w:r>
      <w:r w:rsidR="002D4932" w:rsidRPr="003B07B6">
        <w:t>es</w:t>
      </w:r>
      <w:r w:rsidRPr="003B07B6">
        <w:t xml:space="preserve"> prix</w:t>
      </w:r>
      <w:bookmarkEnd w:id="214"/>
      <w:bookmarkEnd w:id="215"/>
    </w:p>
    <w:p w14:paraId="0894503D" w14:textId="77777777" w:rsidR="005C3281" w:rsidRPr="004D2A50" w:rsidRDefault="005C3281" w:rsidP="005C3281">
      <w:r>
        <w:t>Les</w:t>
      </w:r>
      <w:r w:rsidRPr="006F22D6">
        <w:t xml:space="preserve"> prix </w:t>
      </w:r>
      <w:r>
        <w:t>sont</w:t>
      </w:r>
      <w:r w:rsidRPr="006F22D6">
        <w:t xml:space="preserve"> réputé</w:t>
      </w:r>
      <w:r>
        <w:t>s</w:t>
      </w:r>
      <w:r w:rsidRPr="006F22D6">
        <w:t xml:space="preserve"> comprendre toutes les charges fiscales, parafiscales ou autres frappant obligatoirement la prestation. Le prix tient compte des marges pour risques et des marges bénéficiaires ainsi que, de manière générale, quel que soient les quantités à mettre en œuvre, de toutes les dépenses nécessaires à l’exécution des </w:t>
      </w:r>
      <w:r w:rsidRPr="004D2A50">
        <w:t>prestations faisant l’objet du présent marché public et notamment :</w:t>
      </w:r>
    </w:p>
    <w:p w14:paraId="4DA4D9C7" w14:textId="77777777" w:rsidR="0095604D" w:rsidRPr="00616A5D" w:rsidRDefault="002F4D34" w:rsidP="00141C7B">
      <w:pPr>
        <w:pStyle w:val="Paragraphedeliste"/>
        <w:widowControl/>
        <w:numPr>
          <w:ilvl w:val="0"/>
          <w:numId w:val="6"/>
        </w:numPr>
        <w:autoSpaceDE/>
        <w:autoSpaceDN/>
        <w:adjustRightInd/>
        <w:spacing w:after="0" w:line="276" w:lineRule="auto"/>
        <w:ind w:left="714" w:hanging="357"/>
      </w:pPr>
      <w:r w:rsidRPr="008D52CA">
        <w:t>D</w:t>
      </w:r>
      <w:r w:rsidR="0095604D" w:rsidRPr="008D52CA">
        <w:t xml:space="preserve">es frais de personnel quels qu’ils soient (y compris les heures supplémentaires, les charges sociales, </w:t>
      </w:r>
      <w:r w:rsidR="0095604D" w:rsidRPr="00616A5D">
        <w:t>assurances diverses) ;</w:t>
      </w:r>
    </w:p>
    <w:p w14:paraId="484380C2" w14:textId="77777777" w:rsidR="008D52CA" w:rsidRDefault="008D52CA" w:rsidP="00141C7B">
      <w:pPr>
        <w:pStyle w:val="Paragraphedeliste"/>
        <w:widowControl/>
        <w:numPr>
          <w:ilvl w:val="0"/>
          <w:numId w:val="6"/>
        </w:numPr>
        <w:autoSpaceDE/>
        <w:autoSpaceDN/>
        <w:adjustRightInd/>
        <w:spacing w:after="0" w:line="276" w:lineRule="auto"/>
        <w:ind w:left="714" w:hanging="357"/>
      </w:pPr>
      <w:r w:rsidRPr="00616A5D">
        <w:t>Des frais d’assurance</w:t>
      </w:r>
      <w:r w:rsidR="00853C40">
        <w:t> ;</w:t>
      </w:r>
    </w:p>
    <w:p w14:paraId="47BDCA18" w14:textId="6076282B" w:rsidR="005C3281" w:rsidRPr="00616A5D" w:rsidRDefault="005C3281" w:rsidP="00141C7B">
      <w:pPr>
        <w:pStyle w:val="Paragraphedeliste"/>
        <w:widowControl/>
        <w:numPr>
          <w:ilvl w:val="0"/>
          <w:numId w:val="6"/>
        </w:numPr>
        <w:autoSpaceDE/>
        <w:autoSpaceDN/>
        <w:adjustRightInd/>
        <w:spacing w:after="0" w:line="276" w:lineRule="auto"/>
        <w:ind w:left="714" w:hanging="357"/>
      </w:pPr>
      <w:r>
        <w:t xml:space="preserve">De la participation aux réunions de suivi, de pilotage et de rencontres ; </w:t>
      </w:r>
    </w:p>
    <w:p w14:paraId="4428F91E" w14:textId="77777777" w:rsidR="00143D8F" w:rsidRPr="00616A5D" w:rsidRDefault="008D52CA" w:rsidP="00BE57A9">
      <w:pPr>
        <w:pStyle w:val="Paragraphedeliste"/>
        <w:widowControl/>
        <w:numPr>
          <w:ilvl w:val="0"/>
          <w:numId w:val="6"/>
        </w:numPr>
        <w:autoSpaceDE/>
        <w:autoSpaceDN/>
        <w:adjustRightInd/>
        <w:spacing w:after="0" w:line="276" w:lineRule="auto"/>
        <w:ind w:left="714" w:hanging="357"/>
      </w:pPr>
      <w:r w:rsidRPr="00616A5D">
        <w:t>De t</w:t>
      </w:r>
      <w:r w:rsidR="00143D8F" w:rsidRPr="00616A5D">
        <w:t>ous frais de déplacement, d'hébergement ou de restauration des person</w:t>
      </w:r>
      <w:r w:rsidR="00853C40">
        <w:t xml:space="preserve">nels du </w:t>
      </w:r>
      <w:r w:rsidR="008248CD">
        <w:t>Titulaire</w:t>
      </w:r>
      <w:r w:rsidR="00853C40">
        <w:t xml:space="preserve"> </w:t>
      </w:r>
      <w:r w:rsidRPr="00616A5D">
        <w:t>et d</w:t>
      </w:r>
      <w:r w:rsidR="00143D8F" w:rsidRPr="00616A5D">
        <w:t>es intervenants nécessaire</w:t>
      </w:r>
      <w:r w:rsidRPr="00616A5D">
        <w:t xml:space="preserve">s à l'exécution des </w:t>
      </w:r>
      <w:r w:rsidR="001223D9">
        <w:t>Prestations</w:t>
      </w:r>
      <w:r w:rsidR="00143D8F" w:rsidRPr="00616A5D">
        <w:t> ;</w:t>
      </w:r>
    </w:p>
    <w:p w14:paraId="72E9C03F" w14:textId="32F82740" w:rsidR="00FD5673" w:rsidRDefault="008D52CA" w:rsidP="00BE57A9">
      <w:pPr>
        <w:pStyle w:val="Paragraphedeliste"/>
        <w:widowControl/>
        <w:numPr>
          <w:ilvl w:val="0"/>
          <w:numId w:val="6"/>
        </w:numPr>
        <w:autoSpaceDE/>
        <w:autoSpaceDN/>
        <w:adjustRightInd/>
        <w:spacing w:after="0" w:line="276" w:lineRule="auto"/>
        <w:ind w:left="714" w:hanging="357"/>
      </w:pPr>
      <w:r w:rsidRPr="00616A5D">
        <w:t>De l</w:t>
      </w:r>
      <w:r w:rsidR="00143D8F" w:rsidRPr="00616A5D">
        <w:t>a cession des droits de propriété intellectuelle et des droi</w:t>
      </w:r>
      <w:r w:rsidR="00A16933" w:rsidRPr="00616A5D">
        <w:t>ts voisins</w:t>
      </w:r>
      <w:r w:rsidR="00616A5D" w:rsidRPr="00616A5D">
        <w:t>.</w:t>
      </w:r>
    </w:p>
    <w:p w14:paraId="0C81349D" w14:textId="77777777" w:rsidR="00240EAC" w:rsidRPr="00240EAC" w:rsidRDefault="00240EAC" w:rsidP="00240EAC">
      <w:pPr>
        <w:widowControl/>
        <w:autoSpaceDE/>
        <w:autoSpaceDN/>
        <w:adjustRightInd/>
        <w:spacing w:after="0" w:line="276" w:lineRule="auto"/>
        <w:rPr>
          <w:sz w:val="8"/>
        </w:rPr>
      </w:pPr>
    </w:p>
    <w:p w14:paraId="53CC2B19" w14:textId="41FD8070" w:rsidR="00240EAC" w:rsidRDefault="00B01CB5" w:rsidP="00240EAC">
      <w:pPr>
        <w:widowControl/>
        <w:autoSpaceDE/>
        <w:autoSpaceDN/>
        <w:adjustRightInd/>
        <w:spacing w:after="0" w:line="276" w:lineRule="auto"/>
      </w:pPr>
      <w:r>
        <w:t>Les frais résultants</w:t>
      </w:r>
      <w:r w:rsidR="00240EAC">
        <w:t xml:space="preserve"> d’un ajournement ou du rejet des prestations sont à la charge du Titulaire.</w:t>
      </w:r>
    </w:p>
    <w:p w14:paraId="0491B65D" w14:textId="77777777" w:rsidR="00971679" w:rsidRPr="003B07B6" w:rsidRDefault="00971679" w:rsidP="003B07B6">
      <w:pPr>
        <w:pStyle w:val="Titre2"/>
      </w:pPr>
      <w:bookmarkStart w:id="216" w:name="_Toc220490801"/>
      <w:r w:rsidRPr="003B07B6">
        <w:t>Révision des prix : Offre de prix promotionnels</w:t>
      </w:r>
      <w:bookmarkEnd w:id="216"/>
    </w:p>
    <w:p w14:paraId="650DCE39" w14:textId="5CE01791" w:rsidR="00971679" w:rsidRPr="00971679" w:rsidRDefault="00971679" w:rsidP="00971679">
      <w:r w:rsidRPr="00971679">
        <w:t xml:space="preserve">Le </w:t>
      </w:r>
      <w:r w:rsidR="008248CD">
        <w:t>Titulaire</w:t>
      </w:r>
      <w:r w:rsidRPr="00971679">
        <w:t xml:space="preserve"> peut proposer, à tout moment durant l’exécution </w:t>
      </w:r>
      <w:r w:rsidR="00141C7B">
        <w:t>du Marché public</w:t>
      </w:r>
      <w:r w:rsidRPr="00971679">
        <w:t xml:space="preserve">, des offres de prix </w:t>
      </w:r>
      <w:r w:rsidR="009D4937">
        <w:t>promotionnelles.</w:t>
      </w:r>
    </w:p>
    <w:p w14:paraId="5DAD42A3" w14:textId="77777777" w:rsidR="00971679" w:rsidRDefault="00971679" w:rsidP="00971679">
      <w:r w:rsidRPr="00971679">
        <w:t xml:space="preserve">Dans ce cadre, le </w:t>
      </w:r>
      <w:r w:rsidR="008248CD">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5AE25090" w14:textId="1C2B235A" w:rsidR="00971679" w:rsidRDefault="00971679" w:rsidP="00971679">
      <w:r w:rsidRPr="00971679">
        <w:t xml:space="preserve">Le </w:t>
      </w:r>
      <w:r>
        <w:t>CNC</w:t>
      </w:r>
      <w:r w:rsidRPr="00971679">
        <w:t xml:space="preserve"> notifie son accord par tout moyen permettant de lui donner date certaine.</w:t>
      </w:r>
    </w:p>
    <w:p w14:paraId="37398CFD" w14:textId="77777777" w:rsidR="009D2388" w:rsidRPr="00A36637" w:rsidRDefault="00143C4E" w:rsidP="008711C4">
      <w:pPr>
        <w:pStyle w:val="Titre1"/>
      </w:pPr>
      <w:bookmarkStart w:id="217" w:name="_Toc448150238"/>
      <w:bookmarkStart w:id="218" w:name="_Toc220490802"/>
      <w:r w:rsidRPr="00616A5D">
        <w:t>MODALITES</w:t>
      </w:r>
      <w:r>
        <w:t xml:space="preserve"> DE PAIEMENT</w:t>
      </w:r>
      <w:bookmarkEnd w:id="217"/>
      <w:bookmarkEnd w:id="218"/>
    </w:p>
    <w:p w14:paraId="35E2963C" w14:textId="77777777" w:rsidR="009D2388" w:rsidRPr="003B07B6" w:rsidRDefault="00143C4E" w:rsidP="003B07B6">
      <w:pPr>
        <w:pStyle w:val="Titre2"/>
      </w:pPr>
      <w:bookmarkStart w:id="219" w:name="_Toc448150239"/>
      <w:bookmarkStart w:id="220" w:name="_Toc220490803"/>
      <w:r w:rsidRPr="003B07B6">
        <w:t>Avances</w:t>
      </w:r>
      <w:bookmarkEnd w:id="219"/>
      <w:bookmarkEnd w:id="220"/>
    </w:p>
    <w:p w14:paraId="7C973E13" w14:textId="3E180518" w:rsidR="005C3281" w:rsidRDefault="005C3281" w:rsidP="003317CC">
      <w:r w:rsidRPr="005C3281">
        <w:t>Il est fait application de l’option B de l’art. 11.1 du CCAG-PI.</w:t>
      </w:r>
    </w:p>
    <w:p w14:paraId="78CC9098" w14:textId="77777777" w:rsidR="00B03479" w:rsidRPr="003B07B6" w:rsidRDefault="00B03479" w:rsidP="003B07B6">
      <w:pPr>
        <w:pStyle w:val="Titre2"/>
      </w:pPr>
      <w:bookmarkStart w:id="221" w:name="_Toc220490804"/>
      <w:r w:rsidRPr="003B07B6">
        <w:t>Acomptes</w:t>
      </w:r>
      <w:bookmarkEnd w:id="221"/>
    </w:p>
    <w:p w14:paraId="39FC6005" w14:textId="6E4CA5D5" w:rsidR="005A6EA5" w:rsidRDefault="005A6EA5" w:rsidP="00B03479">
      <w:r>
        <w:t>Pour les prestations d’une durée d’exécution supérieure à 3 mois, le Titulaire a droit au paiement d’acomptes trimestriels correspondant à la valeur des prestations effectivement réalisées</w:t>
      </w:r>
      <w:r w:rsidR="0051679C">
        <w:t>,</w:t>
      </w:r>
      <w:r>
        <w:t xml:space="preserve"> sur présentation des justificatifs correspondants. La périodicité des acomptes peut être ramenée à 1 mois dans les conditions définies à l’article R2151-13 du Code de la commande publique.</w:t>
      </w:r>
    </w:p>
    <w:p w14:paraId="3A36AC3D" w14:textId="77777777" w:rsidR="00B058B2" w:rsidRPr="003B07B6" w:rsidRDefault="00B058B2" w:rsidP="003B07B6">
      <w:pPr>
        <w:pStyle w:val="Titre2"/>
      </w:pPr>
      <w:bookmarkStart w:id="222" w:name="_Toc487473386"/>
      <w:bookmarkStart w:id="223" w:name="_Toc220490805"/>
      <w:r w:rsidRPr="003B07B6">
        <w:lastRenderedPageBreak/>
        <w:t>Transmission des demandes de paiement</w:t>
      </w:r>
      <w:bookmarkEnd w:id="222"/>
      <w:bookmarkEnd w:id="223"/>
      <w:r w:rsidRPr="003B07B6">
        <w:t> </w:t>
      </w:r>
    </w:p>
    <w:p w14:paraId="5E7A6B3D" w14:textId="77777777" w:rsidR="00B058B2" w:rsidRPr="00B058B2" w:rsidRDefault="00B058B2" w:rsidP="00B058B2">
      <w:pPr>
        <w:pStyle w:val="Titre3"/>
      </w:pPr>
      <w:bookmarkStart w:id="224" w:name="_Toc487473387"/>
      <w:r w:rsidRPr="00B058B2">
        <w:t>Facturation dématérialisée</w:t>
      </w:r>
      <w:bookmarkEnd w:id="224"/>
    </w:p>
    <w:p w14:paraId="23912B4B" w14:textId="4C63EDF7" w:rsidR="004A23EB" w:rsidRPr="004A23EB" w:rsidRDefault="004A23EB" w:rsidP="004A23EB">
      <w:pPr>
        <w:spacing w:before="120"/>
      </w:pPr>
      <w:r w:rsidRPr="004A23EB">
        <w:t xml:space="preserve">En application de l’article L2192-1 du code de la commande publique, le titulaire et le cas échéant, ses sous-traitants admis au paiement direct, transmettent leurs factures sous forme électronique. </w:t>
      </w:r>
    </w:p>
    <w:p w14:paraId="13369006" w14:textId="77777777" w:rsidR="004A23EB" w:rsidRPr="004A23EB" w:rsidRDefault="004A23EB" w:rsidP="004A23EB">
      <w:pPr>
        <w:spacing w:before="120"/>
      </w:pPr>
      <w:r w:rsidRPr="004A23EB">
        <w:t xml:space="preserve">En application de l’article L2192-5 du CCP, la transmission des factures s’effectue via une solution mutualisée, mise à disposition par l'Etat et dénommée “ portail public de facturation ”. Ce portail internet est mis à disposition des émetteurs à l'adresse suivante : https://chorus-pro.gouv.fr </w:t>
      </w:r>
    </w:p>
    <w:p w14:paraId="2F3FFD5D" w14:textId="70F303D6" w:rsidR="004A23EB" w:rsidRPr="004A23EB" w:rsidRDefault="004A23EB" w:rsidP="004A23EB">
      <w:pPr>
        <w:spacing w:before="120"/>
      </w:pPr>
      <w:r w:rsidRPr="004A23EB">
        <w:t xml:space="preserve">A titre informatif, plus de précisions sur le portail Chorus Pro et ses fonctionnalités, sont disponibles en consultant le site internet : </w:t>
      </w:r>
      <w:hyperlink r:id="rId11" w:history="1">
        <w:r w:rsidR="0015779D" w:rsidRPr="00643DA7">
          <w:rPr>
            <w:rStyle w:val="Lienhypertexte"/>
          </w:rPr>
          <w:t>https://communaute-chorus-pro.finances.gouv.fr</w:t>
        </w:r>
      </w:hyperlink>
      <w:r w:rsidR="0015779D">
        <w:t xml:space="preserve"> </w:t>
      </w:r>
      <w:r w:rsidRPr="004A23EB">
        <w:t xml:space="preserve">. </w:t>
      </w:r>
    </w:p>
    <w:p w14:paraId="44E7A1B1" w14:textId="6DCF2198" w:rsidR="004A23EB" w:rsidRPr="004A23EB" w:rsidRDefault="004A23EB" w:rsidP="004A23EB">
      <w:pPr>
        <w:spacing w:before="120"/>
      </w:pPr>
      <w:r w:rsidRPr="004A23EB">
        <w:t xml:space="preserve">Les factures électroniques comportent les mentions obligatoires prévues à l’article D2192-2 du code de la commande publique. </w:t>
      </w:r>
    </w:p>
    <w:p w14:paraId="2E378D05" w14:textId="77777777" w:rsidR="00B058B2" w:rsidRPr="00B058B2" w:rsidRDefault="00B058B2" w:rsidP="00B058B2">
      <w:pPr>
        <w:pStyle w:val="Titre3"/>
      </w:pPr>
      <w:bookmarkStart w:id="225" w:name="_Toc487473388"/>
      <w:r w:rsidRPr="00B058B2">
        <w:t>Facturation papier</w:t>
      </w:r>
      <w:bookmarkEnd w:id="225"/>
    </w:p>
    <w:p w14:paraId="2429D6A1" w14:textId="77777777" w:rsidR="00B058B2" w:rsidRPr="00B058B2" w:rsidRDefault="00B058B2" w:rsidP="00B058B2">
      <w:pPr>
        <w:spacing w:before="120"/>
      </w:pPr>
      <w:r w:rsidRPr="00B058B2">
        <w:t>Dans le cas où le Titulaire n’est pas soumis à l’obligation de dématérialisation des factures, celles-ci sont envoyées à l’adresse suivante :</w:t>
      </w:r>
    </w:p>
    <w:p w14:paraId="741BA1D9" w14:textId="77777777" w:rsidR="00B058B2" w:rsidRPr="00B058B2" w:rsidRDefault="00B058B2" w:rsidP="00B058B2">
      <w:pPr>
        <w:spacing w:before="120" w:after="240"/>
        <w:contextualSpacing/>
        <w:jc w:val="center"/>
      </w:pPr>
      <w:r w:rsidRPr="00B058B2">
        <w:rPr>
          <w:noProof/>
        </w:rPr>
        <mc:AlternateContent>
          <mc:Choice Requires="wps">
            <w:drawing>
              <wp:inline distT="0" distB="0" distL="0" distR="0" wp14:anchorId="03ACC525" wp14:editId="1613DFE1">
                <wp:extent cx="3124200" cy="685800"/>
                <wp:effectExtent l="0" t="0" r="19050" b="19050"/>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5346D005" w14:textId="7082C534" w:rsidR="00A376F4" w:rsidRPr="00044D78" w:rsidRDefault="00A376F4" w:rsidP="00B058B2">
                            <w:pPr>
                              <w:spacing w:after="0"/>
                              <w:jc w:val="center"/>
                            </w:pPr>
                            <w:r>
                              <w:t>Centre national du c</w:t>
                            </w:r>
                            <w:r w:rsidRPr="00044D78">
                              <w:t>inéma et de l’image animée</w:t>
                            </w:r>
                          </w:p>
                          <w:p w14:paraId="5EA71EDD" w14:textId="7A7F7F26" w:rsidR="00A376F4" w:rsidRPr="00044D78" w:rsidRDefault="00A376F4" w:rsidP="00B058B2">
                            <w:pPr>
                              <w:spacing w:after="0"/>
                              <w:jc w:val="center"/>
                              <w:rPr>
                                <w:b/>
                              </w:rPr>
                            </w:pPr>
                            <w:r>
                              <w:rPr>
                                <w:b/>
                              </w:rPr>
                              <w:t>Agence comptable -</w:t>
                            </w:r>
                            <w:r w:rsidRPr="00044D78">
                              <w:rPr>
                                <w:b/>
                              </w:rPr>
                              <w:t xml:space="preserve"> Service facturier</w:t>
                            </w:r>
                          </w:p>
                          <w:p w14:paraId="3E742B8A" w14:textId="77777777" w:rsidR="00A376F4" w:rsidRDefault="00A376F4" w:rsidP="00EC3667">
                            <w:pPr>
                              <w:spacing w:after="0"/>
                              <w:jc w:val="center"/>
                            </w:pPr>
                            <w:r>
                              <w:t>291, boulevard Raspail</w:t>
                            </w:r>
                          </w:p>
                          <w:p w14:paraId="6591B986" w14:textId="7067DA6B" w:rsidR="00A376F4" w:rsidRPr="00A36637" w:rsidRDefault="00A376F4" w:rsidP="00EC3667">
                            <w:pPr>
                              <w:spacing w:after="0"/>
                              <w:jc w:val="center"/>
                            </w:pPr>
                            <w:r>
                              <w:t>75675  Paris Cedex 14</w:t>
                            </w:r>
                          </w:p>
                        </w:txbxContent>
                      </wps:txbx>
                      <wps:bodyPr rot="0" vert="horz" wrap="square" lIns="91440" tIns="45720" rIns="91440" bIns="45720" anchor="t" anchorCtr="0" upright="1">
                        <a:noAutofit/>
                      </wps:bodyPr>
                    </wps:wsp>
                  </a:graphicData>
                </a:graphic>
              </wp:inline>
            </w:drawing>
          </mc:Choice>
          <mc:Fallback>
            <w:pict>
              <v:rect w14:anchorId="03ACC525"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5346D005" w14:textId="7082C534" w:rsidR="00A376F4" w:rsidRPr="00044D78" w:rsidRDefault="00A376F4" w:rsidP="00B058B2">
                      <w:pPr>
                        <w:spacing w:after="0"/>
                        <w:jc w:val="center"/>
                      </w:pPr>
                      <w:r>
                        <w:t>Centre national du c</w:t>
                      </w:r>
                      <w:r w:rsidRPr="00044D78">
                        <w:t>inéma et de l’image animée</w:t>
                      </w:r>
                    </w:p>
                    <w:p w14:paraId="5EA71EDD" w14:textId="7A7F7F26" w:rsidR="00A376F4" w:rsidRPr="00044D78" w:rsidRDefault="00A376F4" w:rsidP="00B058B2">
                      <w:pPr>
                        <w:spacing w:after="0"/>
                        <w:jc w:val="center"/>
                        <w:rPr>
                          <w:b/>
                        </w:rPr>
                      </w:pPr>
                      <w:r>
                        <w:rPr>
                          <w:b/>
                        </w:rPr>
                        <w:t>Agence comptable -</w:t>
                      </w:r>
                      <w:r w:rsidRPr="00044D78">
                        <w:rPr>
                          <w:b/>
                        </w:rPr>
                        <w:t xml:space="preserve"> Service facturier</w:t>
                      </w:r>
                    </w:p>
                    <w:p w14:paraId="3E742B8A" w14:textId="77777777" w:rsidR="00A376F4" w:rsidRDefault="00A376F4" w:rsidP="00EC3667">
                      <w:pPr>
                        <w:spacing w:after="0"/>
                        <w:jc w:val="center"/>
                      </w:pPr>
                      <w:r>
                        <w:t>291, boulevard Raspail</w:t>
                      </w:r>
                    </w:p>
                    <w:p w14:paraId="6591B986" w14:textId="7067DA6B" w:rsidR="00A376F4" w:rsidRPr="00A36637" w:rsidRDefault="00A376F4" w:rsidP="00EC3667">
                      <w:pPr>
                        <w:spacing w:after="0"/>
                        <w:jc w:val="center"/>
                      </w:pPr>
                      <w:r>
                        <w:t>75675  Paris Cedex 14</w:t>
                      </w:r>
                    </w:p>
                  </w:txbxContent>
                </v:textbox>
                <w10:anchorlock/>
              </v:rect>
            </w:pict>
          </mc:Fallback>
        </mc:AlternateContent>
      </w:r>
    </w:p>
    <w:p w14:paraId="7DE016EF" w14:textId="77777777" w:rsidR="0015779D" w:rsidRPr="0015779D" w:rsidRDefault="0015779D" w:rsidP="0015779D">
      <w:pPr>
        <w:pStyle w:val="Titre2"/>
      </w:pPr>
      <w:bookmarkStart w:id="226" w:name="_Toc70608952"/>
      <w:bookmarkStart w:id="227" w:name="_Toc220490806"/>
      <w:bookmarkStart w:id="228" w:name="_Toc455510327"/>
      <w:bookmarkStart w:id="229" w:name="_Toc487473389"/>
      <w:r w:rsidRPr="0015779D">
        <w:t>Contenu des demandes de paiement</w:t>
      </w:r>
      <w:bookmarkEnd w:id="226"/>
      <w:bookmarkEnd w:id="227"/>
    </w:p>
    <w:p w14:paraId="18DCC331" w14:textId="77777777" w:rsidR="0015779D" w:rsidRPr="0015779D" w:rsidRDefault="0015779D" w:rsidP="0015779D">
      <w:pPr>
        <w:spacing w:before="120"/>
      </w:pPr>
      <w:r w:rsidRPr="0015779D">
        <w:t xml:space="preserve">Les factures sont établies en un (1) original. Elles doivent être conformes au prix du Marché public tel qu’indiqué en annexe à l’acte d’engagement et comporter les mentions obligatoires. </w:t>
      </w:r>
    </w:p>
    <w:p w14:paraId="6838FCA6" w14:textId="04C7A664" w:rsidR="0015779D" w:rsidRPr="0015779D" w:rsidRDefault="0015779D" w:rsidP="0015779D">
      <w:pPr>
        <w:spacing w:before="120"/>
      </w:pPr>
      <w:r w:rsidRPr="0015779D">
        <w:t xml:space="preserve">Le titulaire respecte notamment les obligations visées à l’article D2192-2 du </w:t>
      </w:r>
      <w:r w:rsidRPr="004A23EB">
        <w:t>code de la commande publique</w:t>
      </w:r>
      <w:r w:rsidRPr="0015779D">
        <w:t xml:space="preserve"> et celles liées à toute évolution de la réglementation. </w:t>
      </w:r>
    </w:p>
    <w:p w14:paraId="631CE6FC" w14:textId="7B5A4156" w:rsidR="00B058B2" w:rsidRPr="003B07B6" w:rsidRDefault="00B058B2" w:rsidP="003B07B6">
      <w:pPr>
        <w:pStyle w:val="Titre2"/>
      </w:pPr>
      <w:bookmarkStart w:id="230" w:name="_Toc220490807"/>
      <w:r w:rsidRPr="003B07B6">
        <w:t>Paiement et retard de paiement</w:t>
      </w:r>
      <w:bookmarkEnd w:id="228"/>
      <w:bookmarkEnd w:id="229"/>
      <w:bookmarkEnd w:id="230"/>
    </w:p>
    <w:p w14:paraId="3C362B6F" w14:textId="26DC9A05" w:rsidR="005A6EA5" w:rsidRDefault="005A6EA5" w:rsidP="005A6EA5">
      <w:pPr>
        <w:spacing w:before="120"/>
      </w:pPr>
      <w:r>
        <w:t>Le paiement des avances est effectué par virement administratif dans un délai global maximum de trente (30) jours</w:t>
      </w:r>
      <w:r w:rsidR="00E735E7">
        <w:t>,</w:t>
      </w:r>
      <w:r>
        <w:t xml:space="preserve"> en application de l’article R. 2192-10 du Code de la commande publique, à compter de la réception de la demande de paiement. </w:t>
      </w:r>
    </w:p>
    <w:p w14:paraId="052D176C" w14:textId="19A81C58" w:rsidR="005A6EA5" w:rsidRDefault="005A6EA5" w:rsidP="005A6EA5">
      <w:pPr>
        <w:spacing w:before="120"/>
      </w:pPr>
      <w:r>
        <w:t>Le paiement des acomptes est effectué par virement administratif dans un délai global maximum de trente (30) jours</w:t>
      </w:r>
      <w:r w:rsidR="00E735E7">
        <w:t>,</w:t>
      </w:r>
      <w:r>
        <w:t xml:space="preserve"> en application de l’article R. 2192-10 du Code de la commande publique, à compter de la réception de la validation de la demande de paiement par le CNC. </w:t>
      </w:r>
    </w:p>
    <w:p w14:paraId="702AEF7A" w14:textId="0FBE86E6" w:rsidR="005A6EA5" w:rsidRDefault="005A6EA5" w:rsidP="005A6EA5">
      <w:pPr>
        <w:spacing w:before="120"/>
      </w:pPr>
      <w:r>
        <w:t>Le paiement des prestations est effectué par virement administratif dans un délai global maximum de trente (30) jours</w:t>
      </w:r>
      <w:r w:rsidR="00E735E7">
        <w:t>,</w:t>
      </w:r>
      <w:r>
        <w:t xml:space="preserve"> en application de l’article R. 2192-10 du Code de la commande publique, à compter de la réception de la demande de paiement</w:t>
      </w:r>
      <w:r w:rsidR="00E735E7">
        <w:t>,</w:t>
      </w:r>
      <w:r>
        <w:t xml:space="preserve"> ou à compter de la date de réception des Prestations</w:t>
      </w:r>
      <w:r w:rsidR="00E735E7">
        <w:t>,</w:t>
      </w:r>
      <w:r>
        <w:t xml:space="preserve"> si celle</w:t>
      </w:r>
      <w:r>
        <w:noBreakHyphen/>
        <w:t xml:space="preserve">ci est ultérieure, en application de l’article R. 2192-17 du Code de la commande publique. </w:t>
      </w:r>
    </w:p>
    <w:p w14:paraId="55743069" w14:textId="3041DFA3" w:rsidR="005A6EA5" w:rsidRDefault="005A6EA5" w:rsidP="005A6EA5">
      <w:pPr>
        <w:spacing w:before="120"/>
      </w:pPr>
      <w:r>
        <w:t>Le défaut de paiement dans le délai prévu ci-dessus fait courir de plein droit</w:t>
      </w:r>
      <w:r w:rsidR="00E735E7">
        <w:t>,</w:t>
      </w:r>
      <w:r>
        <w:t xml:space="preserve"> et sans autre formalité, des intérêts moratoires</w:t>
      </w:r>
      <w:r w:rsidR="00E735E7">
        <w:t>,</w:t>
      </w:r>
      <w:r>
        <w:t xml:space="preserve"> ainsi qu’une indemnité forfaitaire pour frais de recouvrement au bénéfice du Titulaire, conformément aux articles R. 2192-31 à R. 2192-36 du Code de la commande publique.</w:t>
      </w:r>
    </w:p>
    <w:p w14:paraId="3EB0085C" w14:textId="77777777" w:rsidR="009D2388" w:rsidRPr="002570EF" w:rsidRDefault="00143C4E" w:rsidP="008711C4">
      <w:pPr>
        <w:pStyle w:val="Titre1"/>
      </w:pPr>
      <w:bookmarkStart w:id="231" w:name="_Toc448150243"/>
      <w:bookmarkStart w:id="232" w:name="_Toc220490808"/>
      <w:r w:rsidRPr="002570EF">
        <w:t>PENALITES</w:t>
      </w:r>
      <w:bookmarkEnd w:id="231"/>
      <w:bookmarkEnd w:id="232"/>
    </w:p>
    <w:p w14:paraId="3F391069" w14:textId="68C2B4AA" w:rsidR="00B01CB5" w:rsidRDefault="00B01CB5" w:rsidP="00A01C69">
      <w:pPr>
        <w:pStyle w:val="Titre2"/>
      </w:pPr>
      <w:bookmarkStart w:id="233" w:name="_Toc220490809"/>
      <w:bookmarkStart w:id="234" w:name="_Hlk218766092"/>
      <w:r>
        <w:t>Pénalités de retard</w:t>
      </w:r>
      <w:bookmarkEnd w:id="233"/>
    </w:p>
    <w:bookmarkEnd w:id="234"/>
    <w:p w14:paraId="023D833F" w14:textId="31A556F5" w:rsidR="00464D56" w:rsidRPr="00464D56" w:rsidRDefault="00C85C5E" w:rsidP="00464D56">
      <w:pPr>
        <w:rPr>
          <w:rFonts w:cs="Times New Roman"/>
        </w:rPr>
      </w:pPr>
      <w:r w:rsidRPr="00464D56">
        <w:t xml:space="preserve">Par dérogation à l’article 14.1 du </w:t>
      </w:r>
      <w:r w:rsidR="001726CB" w:rsidRPr="00464D56">
        <w:t>CCAG-PI</w:t>
      </w:r>
      <w:r w:rsidRPr="00464D56">
        <w:t xml:space="preserve">, lorsque le délai contractuel </w:t>
      </w:r>
      <w:r w:rsidR="00F87EC3" w:rsidRPr="00464D56">
        <w:t xml:space="preserve">d’exécution est dépassé, par le </w:t>
      </w:r>
      <w:r w:rsidRPr="00464D56">
        <w:t xml:space="preserve">fait du </w:t>
      </w:r>
      <w:r w:rsidR="008248CD" w:rsidRPr="00464D56">
        <w:t>Titulaire</w:t>
      </w:r>
      <w:r w:rsidRPr="00464D56">
        <w:t>, celui-ci encourt, par jour calendaire de retard et san</w:t>
      </w:r>
      <w:r w:rsidR="00F87EC3" w:rsidRPr="00464D56">
        <w:t>s mise en demeure préalable</w:t>
      </w:r>
      <w:r w:rsidR="00061C3E">
        <w:t>,</w:t>
      </w:r>
      <w:r w:rsidR="00F87EC3" w:rsidRPr="00464D56">
        <w:t xml:space="preserve"> </w:t>
      </w:r>
      <w:r w:rsidR="00201875" w:rsidRPr="00464D56">
        <w:t>une</w:t>
      </w:r>
      <w:r w:rsidR="00F87EC3" w:rsidRPr="00464D56">
        <w:t xml:space="preserve"> </w:t>
      </w:r>
      <w:r w:rsidRPr="00464D56">
        <w:t>pénalité</w:t>
      </w:r>
      <w:r w:rsidR="00201875" w:rsidRPr="00464D56">
        <w:t xml:space="preserve"> </w:t>
      </w:r>
      <w:r w:rsidR="00464D56" w:rsidRPr="00464D56">
        <w:rPr>
          <w:rFonts w:cs="Times New Roman"/>
        </w:rPr>
        <w:t>calculée par application de la formule suivante :</w:t>
      </w:r>
    </w:p>
    <w:p w14:paraId="0CE0C8DA" w14:textId="77777777" w:rsidR="00464D56" w:rsidRPr="00464D56" w:rsidRDefault="00464D56" w:rsidP="00464D56">
      <w:pPr>
        <w:widowControl/>
        <w:autoSpaceDE/>
        <w:autoSpaceDN/>
        <w:adjustRightInd/>
        <w:spacing w:before="120"/>
        <w:jc w:val="center"/>
        <w:outlineLvl w:val="2"/>
        <w:rPr>
          <w:rFonts w:cs="Times New Roman"/>
          <w:b/>
        </w:rPr>
      </w:pPr>
      <w:r w:rsidRPr="00464D56">
        <w:rPr>
          <w:rFonts w:cs="Times New Roman"/>
          <w:b/>
        </w:rPr>
        <w:t>P = V x R / 500</w:t>
      </w:r>
    </w:p>
    <w:p w14:paraId="2686192F" w14:textId="77777777" w:rsidR="00464D56" w:rsidRPr="00464D56" w:rsidRDefault="00464D56" w:rsidP="00464D56">
      <w:pPr>
        <w:widowControl/>
        <w:autoSpaceDE/>
        <w:autoSpaceDN/>
        <w:adjustRightInd/>
        <w:spacing w:before="120"/>
        <w:outlineLvl w:val="2"/>
        <w:rPr>
          <w:rFonts w:cs="Times New Roman"/>
        </w:rPr>
      </w:pPr>
      <w:r w:rsidRPr="00464D56">
        <w:rPr>
          <w:rFonts w:cs="Times New Roman"/>
        </w:rPr>
        <w:lastRenderedPageBreak/>
        <w:t>Dans laquelle :</w:t>
      </w:r>
    </w:p>
    <w:p w14:paraId="0180DD36" w14:textId="77777777" w:rsidR="00464D56" w:rsidRPr="00464D56" w:rsidRDefault="00464D56" w:rsidP="005A6EA5">
      <w:pPr>
        <w:widowControl/>
        <w:autoSpaceDE/>
        <w:autoSpaceDN/>
        <w:adjustRightInd/>
        <w:spacing w:before="120"/>
        <w:ind w:left="709"/>
        <w:outlineLvl w:val="2"/>
        <w:rPr>
          <w:rFonts w:cs="Times New Roman"/>
        </w:rPr>
      </w:pPr>
      <w:r w:rsidRPr="00464D56">
        <w:rPr>
          <w:rFonts w:cs="Times New Roman"/>
        </w:rPr>
        <w:t>P = le montant de la pénalité ;</w:t>
      </w:r>
    </w:p>
    <w:p w14:paraId="47B30D3D" w14:textId="77777777" w:rsidR="00464D56" w:rsidRPr="00464D56" w:rsidRDefault="00464D56" w:rsidP="005A6EA5">
      <w:pPr>
        <w:widowControl/>
        <w:autoSpaceDE/>
        <w:autoSpaceDN/>
        <w:adjustRightInd/>
        <w:spacing w:before="120"/>
        <w:ind w:left="709"/>
        <w:outlineLvl w:val="2"/>
        <w:rPr>
          <w:rFonts w:cs="Times New Roman"/>
        </w:rPr>
      </w:pPr>
      <w:r w:rsidRPr="00464D56">
        <w:rPr>
          <w:rFonts w:cs="Times New Roman"/>
        </w:rPr>
        <w:t>V = le montant du bon de commande ;</w:t>
      </w:r>
    </w:p>
    <w:p w14:paraId="3B0FAA3A" w14:textId="77777777" w:rsidR="00464D56" w:rsidRPr="00464D56" w:rsidRDefault="00464D56" w:rsidP="005A6EA5">
      <w:pPr>
        <w:widowControl/>
        <w:autoSpaceDE/>
        <w:autoSpaceDN/>
        <w:adjustRightInd/>
        <w:spacing w:before="120"/>
        <w:ind w:left="709"/>
        <w:outlineLvl w:val="2"/>
        <w:rPr>
          <w:rFonts w:cs="Times New Roman"/>
        </w:rPr>
      </w:pPr>
      <w:r w:rsidRPr="00464D56">
        <w:rPr>
          <w:rFonts w:cs="Times New Roman"/>
        </w:rPr>
        <w:t>R = le nombre de jours de retard.</w:t>
      </w:r>
    </w:p>
    <w:p w14:paraId="63023E39" w14:textId="5FCFB6CC" w:rsidR="00A86B65" w:rsidRDefault="00061C3E" w:rsidP="00464D56">
      <w:pPr>
        <w:rPr>
          <w:rFonts w:cs="Times New Roman"/>
        </w:rPr>
      </w:pPr>
      <w:r>
        <w:rPr>
          <w:rFonts w:cs="Times New Roman"/>
        </w:rPr>
        <w:t xml:space="preserve">Par </w:t>
      </w:r>
      <w:r w:rsidR="00817BA8">
        <w:rPr>
          <w:rFonts w:cs="Times New Roman"/>
        </w:rPr>
        <w:t>dérogation</w:t>
      </w:r>
      <w:r>
        <w:rPr>
          <w:rFonts w:cs="Times New Roman"/>
        </w:rPr>
        <w:t xml:space="preserve"> à l’article 14.</w:t>
      </w:r>
      <w:r w:rsidR="00A01C69">
        <w:rPr>
          <w:rFonts w:cs="Times New Roman"/>
        </w:rPr>
        <w:t>2 et 14.</w:t>
      </w:r>
      <w:r>
        <w:rPr>
          <w:rFonts w:cs="Times New Roman"/>
        </w:rPr>
        <w:t xml:space="preserve">3 du CCAG-PI, </w:t>
      </w:r>
      <w:r w:rsidR="00464D56" w:rsidRPr="00464D56">
        <w:rPr>
          <w:rFonts w:cs="Times New Roman"/>
        </w:rPr>
        <w:t xml:space="preserve">il n’est pas prévu </w:t>
      </w:r>
      <w:r w:rsidR="00817BA8">
        <w:rPr>
          <w:rFonts w:cs="Times New Roman"/>
        </w:rPr>
        <w:t xml:space="preserve">de montant </w:t>
      </w:r>
      <w:r w:rsidR="00464D56" w:rsidRPr="00464D56">
        <w:rPr>
          <w:rFonts w:cs="Times New Roman"/>
        </w:rPr>
        <w:t>d’exonération</w:t>
      </w:r>
      <w:r w:rsidR="00817BA8">
        <w:rPr>
          <w:rFonts w:cs="Times New Roman"/>
        </w:rPr>
        <w:t xml:space="preserve"> </w:t>
      </w:r>
      <w:r w:rsidR="00A01C69">
        <w:rPr>
          <w:rFonts w:cs="Times New Roman"/>
        </w:rPr>
        <w:t xml:space="preserve">ni de plafond </w:t>
      </w:r>
      <w:r w:rsidR="00817BA8">
        <w:rPr>
          <w:rFonts w:cs="Times New Roman"/>
        </w:rPr>
        <w:t>des pénalités</w:t>
      </w:r>
      <w:r w:rsidR="00464D56" w:rsidRPr="00464D56">
        <w:rPr>
          <w:rFonts w:cs="Times New Roman"/>
        </w:rPr>
        <w:t>.</w:t>
      </w:r>
    </w:p>
    <w:p w14:paraId="1B163A38" w14:textId="0DC587A2" w:rsidR="00A01C69" w:rsidRDefault="00A01C69" w:rsidP="00EB005F">
      <w:pPr>
        <w:pStyle w:val="Titre2"/>
      </w:pPr>
      <w:bookmarkStart w:id="235" w:name="_Toc220490810"/>
      <w:r w:rsidRPr="00A01C69">
        <w:t xml:space="preserve">Pénalités pour non-respect </w:t>
      </w:r>
      <w:r>
        <w:t>de l’équipe dédiée</w:t>
      </w:r>
      <w:bookmarkEnd w:id="235"/>
    </w:p>
    <w:p w14:paraId="1C31D493" w14:textId="2CC19FDA" w:rsidR="00A01C69" w:rsidRPr="00A01C69" w:rsidRDefault="00A01C69" w:rsidP="00A01C69">
      <w:r>
        <w:t xml:space="preserve">En cas d’exécution des prestations par un intervenants ne faisant pas partie de l’équipe dédiée, le Titulaire encourt, </w:t>
      </w:r>
      <w:r w:rsidRPr="00A01C69">
        <w:t>sans mise en demeure préalable, une pénalité calculée par application de la formule</w:t>
      </w:r>
      <w:r>
        <w:t xml:space="preserve"> </w:t>
      </w:r>
      <w:r w:rsidRPr="00A01C69">
        <w:t>suivante :</w:t>
      </w:r>
    </w:p>
    <w:p w14:paraId="6CE31051" w14:textId="448B3FD0" w:rsidR="00286547" w:rsidRPr="00286547" w:rsidRDefault="00286547" w:rsidP="00286547">
      <w:pPr>
        <w:pStyle w:val="Paragraphedeliste"/>
        <w:widowControl/>
        <w:numPr>
          <w:ilvl w:val="0"/>
          <w:numId w:val="6"/>
        </w:numPr>
        <w:autoSpaceDE/>
        <w:autoSpaceDN/>
        <w:adjustRightInd/>
        <w:spacing w:after="0" w:line="276" w:lineRule="auto"/>
        <w:ind w:left="714" w:hanging="357"/>
        <w:rPr>
          <w:b/>
          <w:bCs/>
        </w:rPr>
      </w:pPr>
      <w:r w:rsidRPr="00286547">
        <w:rPr>
          <w:b/>
          <w:bCs/>
        </w:rPr>
        <w:t xml:space="preserve">Cas </w:t>
      </w:r>
      <w:proofErr w:type="gramStart"/>
      <w:r w:rsidRPr="00286547">
        <w:rPr>
          <w:b/>
          <w:bCs/>
        </w:rPr>
        <w:t>1  :</w:t>
      </w:r>
      <w:proofErr w:type="gramEnd"/>
      <w:r w:rsidRPr="00286547">
        <w:rPr>
          <w:b/>
          <w:bCs/>
        </w:rPr>
        <w:t xml:space="preserve"> </w:t>
      </w:r>
      <w:r w:rsidR="00A01C69" w:rsidRPr="00286547">
        <w:rPr>
          <w:b/>
          <w:bCs/>
        </w:rPr>
        <w:t>P = V * 10%</w:t>
      </w:r>
    </w:p>
    <w:p w14:paraId="45E53346" w14:textId="211BDB80" w:rsidR="00286547" w:rsidRPr="00286547" w:rsidRDefault="00286547" w:rsidP="00286547">
      <w:pPr>
        <w:pStyle w:val="Paragraphedeliste"/>
        <w:widowControl/>
        <w:numPr>
          <w:ilvl w:val="0"/>
          <w:numId w:val="6"/>
        </w:numPr>
        <w:autoSpaceDE/>
        <w:autoSpaceDN/>
        <w:adjustRightInd/>
        <w:spacing w:after="0" w:line="276" w:lineRule="auto"/>
        <w:ind w:left="714" w:hanging="357"/>
        <w:rPr>
          <w:b/>
          <w:bCs/>
        </w:rPr>
      </w:pPr>
      <w:r w:rsidRPr="00286547">
        <w:rPr>
          <w:b/>
          <w:bCs/>
        </w:rPr>
        <w:t xml:space="preserve">Cas </w:t>
      </w:r>
      <w:proofErr w:type="gramStart"/>
      <w:r w:rsidRPr="00286547">
        <w:rPr>
          <w:b/>
          <w:bCs/>
        </w:rPr>
        <w:t>2  :</w:t>
      </w:r>
      <w:proofErr w:type="gramEnd"/>
      <w:r w:rsidRPr="00286547">
        <w:rPr>
          <w:b/>
          <w:bCs/>
        </w:rPr>
        <w:t xml:space="preserve"> P = V * 20%</w:t>
      </w:r>
    </w:p>
    <w:p w14:paraId="04ECEB4F" w14:textId="2A72422D" w:rsidR="00286547" w:rsidRPr="00286547" w:rsidRDefault="00286547" w:rsidP="00286547">
      <w:pPr>
        <w:pStyle w:val="Paragraphedeliste"/>
        <w:widowControl/>
        <w:numPr>
          <w:ilvl w:val="0"/>
          <w:numId w:val="6"/>
        </w:numPr>
        <w:autoSpaceDE/>
        <w:autoSpaceDN/>
        <w:adjustRightInd/>
        <w:spacing w:after="0" w:line="276" w:lineRule="auto"/>
        <w:ind w:left="714" w:hanging="357"/>
        <w:rPr>
          <w:b/>
          <w:bCs/>
        </w:rPr>
      </w:pPr>
      <w:r w:rsidRPr="00286547">
        <w:rPr>
          <w:b/>
          <w:bCs/>
        </w:rPr>
        <w:t xml:space="preserve">Cas </w:t>
      </w:r>
      <w:proofErr w:type="gramStart"/>
      <w:r w:rsidRPr="00286547">
        <w:rPr>
          <w:b/>
          <w:bCs/>
        </w:rPr>
        <w:t>3  :</w:t>
      </w:r>
      <w:proofErr w:type="gramEnd"/>
      <w:r w:rsidRPr="00286547">
        <w:rPr>
          <w:b/>
          <w:bCs/>
        </w:rPr>
        <w:t xml:space="preserve"> P = V * 30%</w:t>
      </w:r>
    </w:p>
    <w:p w14:paraId="23D360F2" w14:textId="5DF5DF52" w:rsidR="00A01C69" w:rsidRPr="00286547" w:rsidRDefault="00A01C69" w:rsidP="00A01C69">
      <w:pPr>
        <w:widowControl/>
        <w:autoSpaceDE/>
        <w:autoSpaceDN/>
        <w:adjustRightInd/>
        <w:spacing w:before="120"/>
        <w:jc w:val="center"/>
        <w:outlineLvl w:val="2"/>
        <w:rPr>
          <w:rFonts w:cs="Times New Roman"/>
          <w:b/>
        </w:rPr>
      </w:pPr>
    </w:p>
    <w:p w14:paraId="7F3AF608" w14:textId="77777777" w:rsidR="00A01C69" w:rsidRPr="00464D56" w:rsidRDefault="00A01C69" w:rsidP="00A01C69">
      <w:pPr>
        <w:widowControl/>
        <w:autoSpaceDE/>
        <w:autoSpaceDN/>
        <w:adjustRightInd/>
        <w:spacing w:before="120"/>
        <w:outlineLvl w:val="2"/>
        <w:rPr>
          <w:rFonts w:cs="Times New Roman"/>
        </w:rPr>
      </w:pPr>
      <w:r w:rsidRPr="00464D56">
        <w:rPr>
          <w:rFonts w:cs="Times New Roman"/>
        </w:rPr>
        <w:t>Dans laquelle :</w:t>
      </w:r>
    </w:p>
    <w:p w14:paraId="13FD941C" w14:textId="77777777" w:rsidR="00A01C69" w:rsidRPr="00464D56" w:rsidRDefault="00A01C69" w:rsidP="00A01C69">
      <w:pPr>
        <w:widowControl/>
        <w:autoSpaceDE/>
        <w:autoSpaceDN/>
        <w:adjustRightInd/>
        <w:spacing w:before="120"/>
        <w:ind w:left="709"/>
        <w:outlineLvl w:val="2"/>
        <w:rPr>
          <w:rFonts w:cs="Times New Roman"/>
        </w:rPr>
      </w:pPr>
      <w:r w:rsidRPr="00464D56">
        <w:rPr>
          <w:rFonts w:cs="Times New Roman"/>
        </w:rPr>
        <w:t>P = le montant de la pénalité ;</w:t>
      </w:r>
    </w:p>
    <w:p w14:paraId="0227ABC0" w14:textId="5DFC81E4" w:rsidR="00A01C69" w:rsidRPr="00464D56" w:rsidRDefault="00A01C69" w:rsidP="00A01C69">
      <w:pPr>
        <w:widowControl/>
        <w:autoSpaceDE/>
        <w:autoSpaceDN/>
        <w:adjustRightInd/>
        <w:spacing w:before="120"/>
        <w:ind w:left="709"/>
        <w:outlineLvl w:val="2"/>
        <w:rPr>
          <w:rFonts w:cs="Times New Roman"/>
        </w:rPr>
      </w:pPr>
      <w:r w:rsidRPr="00464D56">
        <w:rPr>
          <w:rFonts w:cs="Times New Roman"/>
        </w:rPr>
        <w:t xml:space="preserve">V = le montant </w:t>
      </w:r>
      <w:r w:rsidR="00657A30">
        <w:rPr>
          <w:rFonts w:cs="Times New Roman"/>
        </w:rPr>
        <w:t>de la prestation TTC</w:t>
      </w:r>
      <w:r w:rsidRPr="00464D56">
        <w:rPr>
          <w:rFonts w:cs="Times New Roman"/>
        </w:rPr>
        <w:t> ;</w:t>
      </w:r>
    </w:p>
    <w:p w14:paraId="4248D40D" w14:textId="2137D353" w:rsidR="00286547" w:rsidRDefault="00286547" w:rsidP="00A01C69">
      <w:pPr>
        <w:widowControl/>
        <w:autoSpaceDE/>
        <w:autoSpaceDN/>
        <w:adjustRightInd/>
        <w:spacing w:before="120"/>
        <w:ind w:left="709"/>
        <w:outlineLvl w:val="2"/>
        <w:rPr>
          <w:rFonts w:cs="Times New Roman"/>
        </w:rPr>
      </w:pPr>
      <w:r>
        <w:rPr>
          <w:rFonts w:cs="Times New Roman"/>
        </w:rPr>
        <w:t>Cas 1</w:t>
      </w:r>
      <w:r w:rsidR="00A01C69" w:rsidRPr="00464D56">
        <w:rPr>
          <w:rFonts w:cs="Times New Roman"/>
        </w:rPr>
        <w:t xml:space="preserve"> = </w:t>
      </w:r>
      <w:r>
        <w:rPr>
          <w:rFonts w:cs="Times New Roman"/>
        </w:rPr>
        <w:t>un ou plusieurs intervenants de niveau junior, prévus dans l’équipe dédié, ont</w:t>
      </w:r>
      <w:r w:rsidR="00846A3D">
        <w:rPr>
          <w:rFonts w:cs="Times New Roman"/>
        </w:rPr>
        <w:t xml:space="preserve"> été remplacés en tout ou partie, </w:t>
      </w:r>
      <w:r w:rsidR="00205AB7">
        <w:rPr>
          <w:rFonts w:cs="Times New Roman"/>
        </w:rPr>
        <w:t>sans l’accord du CNC ;</w:t>
      </w:r>
    </w:p>
    <w:p w14:paraId="58842E4F" w14:textId="00BB9A94" w:rsidR="00286547" w:rsidRPr="00464D56" w:rsidRDefault="00286547" w:rsidP="00286547">
      <w:pPr>
        <w:widowControl/>
        <w:autoSpaceDE/>
        <w:autoSpaceDN/>
        <w:adjustRightInd/>
        <w:spacing w:before="120"/>
        <w:ind w:left="709"/>
        <w:outlineLvl w:val="2"/>
        <w:rPr>
          <w:rFonts w:cs="Times New Roman"/>
        </w:rPr>
      </w:pPr>
      <w:r>
        <w:rPr>
          <w:rFonts w:cs="Times New Roman"/>
        </w:rPr>
        <w:t>Cas 2</w:t>
      </w:r>
      <w:r w:rsidRPr="00464D56">
        <w:rPr>
          <w:rFonts w:cs="Times New Roman"/>
        </w:rPr>
        <w:t xml:space="preserve"> = </w:t>
      </w:r>
      <w:r>
        <w:rPr>
          <w:rFonts w:cs="Times New Roman"/>
        </w:rPr>
        <w:t xml:space="preserve">un ou plusieurs intervenants de niveau confirmé, prévus dans l’équipe dédié, </w:t>
      </w:r>
      <w:r w:rsidR="00846A3D" w:rsidRPr="00846A3D">
        <w:rPr>
          <w:rFonts w:cs="Times New Roman"/>
        </w:rPr>
        <w:t>ont été remplacés en tout ou partie, sans l’accord du CNC</w:t>
      </w:r>
      <w:r w:rsidR="00205AB7">
        <w:rPr>
          <w:rFonts w:cs="Times New Roman"/>
        </w:rPr>
        <w:t> ;</w:t>
      </w:r>
    </w:p>
    <w:p w14:paraId="4A7A616D" w14:textId="55AF1B5B" w:rsidR="00286547" w:rsidRDefault="00286547" w:rsidP="00286547">
      <w:pPr>
        <w:widowControl/>
        <w:autoSpaceDE/>
        <w:autoSpaceDN/>
        <w:adjustRightInd/>
        <w:spacing w:before="120"/>
        <w:ind w:left="709"/>
        <w:outlineLvl w:val="2"/>
        <w:rPr>
          <w:rFonts w:cs="Times New Roman"/>
        </w:rPr>
      </w:pPr>
      <w:r>
        <w:rPr>
          <w:rFonts w:cs="Times New Roman"/>
        </w:rPr>
        <w:t>Cas 3</w:t>
      </w:r>
      <w:r w:rsidRPr="00464D56">
        <w:rPr>
          <w:rFonts w:cs="Times New Roman"/>
        </w:rPr>
        <w:t xml:space="preserve"> = </w:t>
      </w:r>
      <w:r>
        <w:rPr>
          <w:rFonts w:cs="Times New Roman"/>
        </w:rPr>
        <w:t xml:space="preserve">un ou plusieurs intervenants de niveau senior, prévus dans l’équipe dédié, </w:t>
      </w:r>
      <w:r w:rsidR="00846A3D" w:rsidRPr="00846A3D">
        <w:rPr>
          <w:rFonts w:cs="Times New Roman"/>
        </w:rPr>
        <w:t>ont été remplacés en tout ou partie, sans l’accord du CNC</w:t>
      </w:r>
      <w:r w:rsidR="00205AB7">
        <w:rPr>
          <w:rFonts w:cs="Times New Roman"/>
        </w:rPr>
        <w:t> ;</w:t>
      </w:r>
    </w:p>
    <w:p w14:paraId="17E1D7D0" w14:textId="72758F38" w:rsidR="00286547" w:rsidRDefault="00286547" w:rsidP="00286547">
      <w:pPr>
        <w:widowControl/>
        <w:autoSpaceDE/>
        <w:autoSpaceDN/>
        <w:adjustRightInd/>
        <w:spacing w:before="120"/>
        <w:outlineLvl w:val="2"/>
        <w:rPr>
          <w:rFonts w:cs="Times New Roman"/>
        </w:rPr>
      </w:pPr>
      <w:r>
        <w:rPr>
          <w:rFonts w:cs="Times New Roman"/>
        </w:rPr>
        <w:t>Le niveau de qualification des intervenants pris en compte est le suivant :</w:t>
      </w:r>
    </w:p>
    <w:p w14:paraId="267A84B6" w14:textId="72E96B24" w:rsidR="00286547" w:rsidRPr="00286547" w:rsidRDefault="00286547" w:rsidP="00286547">
      <w:pPr>
        <w:pStyle w:val="Paragraphedeliste"/>
        <w:widowControl/>
        <w:numPr>
          <w:ilvl w:val="0"/>
          <w:numId w:val="6"/>
        </w:numPr>
        <w:autoSpaceDE/>
        <w:autoSpaceDN/>
        <w:adjustRightInd/>
        <w:spacing w:after="0" w:line="276" w:lineRule="auto"/>
        <w:ind w:left="714" w:hanging="357"/>
      </w:pPr>
      <w:r w:rsidRPr="00286547">
        <w:t>Junior : 2 à 4 années d’expérience</w:t>
      </w:r>
      <w:r>
        <w:t xml:space="preserve"> dans le domaine des prestations objet du marché</w:t>
      </w:r>
    </w:p>
    <w:p w14:paraId="4541F888" w14:textId="47D24E87" w:rsidR="00286547" w:rsidRPr="00286547" w:rsidRDefault="00286547" w:rsidP="00286547">
      <w:pPr>
        <w:pStyle w:val="Paragraphedeliste"/>
        <w:widowControl/>
        <w:numPr>
          <w:ilvl w:val="0"/>
          <w:numId w:val="6"/>
        </w:numPr>
        <w:autoSpaceDE/>
        <w:autoSpaceDN/>
        <w:adjustRightInd/>
        <w:spacing w:after="0" w:line="276" w:lineRule="auto"/>
        <w:ind w:left="714" w:hanging="357"/>
      </w:pPr>
      <w:r w:rsidRPr="00286547">
        <w:t>Confirmé : 5 à 9 années d’expérience</w:t>
      </w:r>
      <w:r>
        <w:t xml:space="preserve"> dans le domaine</w:t>
      </w:r>
      <w:r w:rsidRPr="00286547">
        <w:t xml:space="preserve"> </w:t>
      </w:r>
      <w:r>
        <w:t>des prestations objet du marché</w:t>
      </w:r>
    </w:p>
    <w:p w14:paraId="65ABBAB2" w14:textId="3930AE27" w:rsidR="00286547" w:rsidRPr="00286547" w:rsidRDefault="00286547" w:rsidP="00286547">
      <w:pPr>
        <w:pStyle w:val="Paragraphedeliste"/>
        <w:widowControl/>
        <w:numPr>
          <w:ilvl w:val="0"/>
          <w:numId w:val="6"/>
        </w:numPr>
        <w:autoSpaceDE/>
        <w:autoSpaceDN/>
        <w:adjustRightInd/>
        <w:spacing w:line="276" w:lineRule="auto"/>
        <w:ind w:left="714" w:hanging="357"/>
      </w:pPr>
      <w:r w:rsidRPr="00286547">
        <w:t>Senior : plus de 10 ans d’expérience</w:t>
      </w:r>
      <w:r>
        <w:t xml:space="preserve"> dans le domaine</w:t>
      </w:r>
      <w:r w:rsidRPr="00286547">
        <w:t xml:space="preserve"> </w:t>
      </w:r>
      <w:r>
        <w:t>des prestations objet du marché</w:t>
      </w:r>
    </w:p>
    <w:p w14:paraId="0D122943" w14:textId="0E7BF5A4" w:rsidR="00286547" w:rsidRDefault="00286547" w:rsidP="00A01C69">
      <w:pPr>
        <w:rPr>
          <w:rFonts w:cs="Times New Roman"/>
        </w:rPr>
      </w:pPr>
      <w:r>
        <w:rPr>
          <w:rFonts w:cs="Times New Roman"/>
        </w:rPr>
        <w:t>Les pénalités sont cumulatives.</w:t>
      </w:r>
    </w:p>
    <w:p w14:paraId="2FC5E327" w14:textId="29E9E565" w:rsidR="00A01C69" w:rsidRDefault="00A01C69" w:rsidP="00A01C69">
      <w:pPr>
        <w:rPr>
          <w:rFonts w:cs="Times New Roman"/>
        </w:rPr>
      </w:pPr>
      <w:r>
        <w:rPr>
          <w:rFonts w:cs="Times New Roman"/>
        </w:rPr>
        <w:t xml:space="preserve">Par dérogation à l’article 14.2 et 14.3 du CCAG-PI, </w:t>
      </w:r>
      <w:r w:rsidRPr="00464D56">
        <w:rPr>
          <w:rFonts w:cs="Times New Roman"/>
        </w:rPr>
        <w:t xml:space="preserve">il n’est pas prévu </w:t>
      </w:r>
      <w:r>
        <w:rPr>
          <w:rFonts w:cs="Times New Roman"/>
        </w:rPr>
        <w:t xml:space="preserve">de montant </w:t>
      </w:r>
      <w:r w:rsidRPr="00464D56">
        <w:rPr>
          <w:rFonts w:cs="Times New Roman"/>
        </w:rPr>
        <w:t>d’exonération</w:t>
      </w:r>
      <w:r>
        <w:rPr>
          <w:rFonts w:cs="Times New Roman"/>
        </w:rPr>
        <w:t xml:space="preserve"> ni de plafond des pénalités</w:t>
      </w:r>
      <w:r w:rsidRPr="00464D56">
        <w:rPr>
          <w:rFonts w:cs="Times New Roman"/>
        </w:rPr>
        <w:t>.</w:t>
      </w:r>
    </w:p>
    <w:p w14:paraId="529D1778" w14:textId="28697E7C" w:rsidR="00B01CB5" w:rsidRPr="00B01CB5" w:rsidRDefault="00B01CB5" w:rsidP="00B01CB5">
      <w:pPr>
        <w:pStyle w:val="Titre2"/>
      </w:pPr>
      <w:bookmarkStart w:id="236" w:name="_Toc220490811"/>
      <w:bookmarkStart w:id="237" w:name="_Hlk220490670"/>
      <w:r w:rsidRPr="00B01CB5">
        <w:t>Pénalités pour non-respect de la clause « diversité et égalité »</w:t>
      </w:r>
      <w:bookmarkEnd w:id="236"/>
    </w:p>
    <w:bookmarkEnd w:id="237"/>
    <w:p w14:paraId="6F9A2BA3" w14:textId="68F69A21" w:rsidR="00B01CB5" w:rsidRDefault="00B01CB5" w:rsidP="00B01CB5">
      <w:pPr>
        <w:spacing w:line="276" w:lineRule="auto"/>
        <w:rPr>
          <w:rFonts w:eastAsiaTheme="minorHAnsi"/>
        </w:rPr>
      </w:pPr>
      <w:r w:rsidRPr="00B01CB5">
        <w:rPr>
          <w:rFonts w:eastAsiaTheme="minorHAnsi"/>
        </w:rPr>
        <w:t xml:space="preserve">Dans le cadre de l’application de la clause « DIVERSITE ET EGALITE », en cas de </w:t>
      </w:r>
      <w:r w:rsidR="003829B0" w:rsidRPr="00B01CB5">
        <w:rPr>
          <w:rFonts w:eastAsiaTheme="minorHAnsi"/>
        </w:rPr>
        <w:t>non-transmission</w:t>
      </w:r>
      <w:r w:rsidRPr="00B01CB5">
        <w:rPr>
          <w:rFonts w:eastAsiaTheme="minorHAnsi"/>
        </w:rPr>
        <w:t xml:space="preserve"> du questionnaire, le titulaire encourt, sans mise en demeure préalable, une pénalité de 10 euros par jour ouvré de retard. </w:t>
      </w:r>
    </w:p>
    <w:p w14:paraId="725C736D" w14:textId="1DDF10A6" w:rsidR="00941241" w:rsidRPr="00B01CB5" w:rsidRDefault="00941241" w:rsidP="00941241">
      <w:pPr>
        <w:pStyle w:val="Titre2"/>
      </w:pPr>
      <w:bookmarkStart w:id="238" w:name="_Toc220490812"/>
      <w:r w:rsidRPr="00B01CB5">
        <w:t xml:space="preserve">Pénalités </w:t>
      </w:r>
      <w:r>
        <w:t>en cas de r</w:t>
      </w:r>
      <w:r w:rsidRPr="00941241">
        <w:t>etard dans la communication du BEGES</w:t>
      </w:r>
      <w:bookmarkEnd w:id="238"/>
    </w:p>
    <w:p w14:paraId="71D97346" w14:textId="1C459F4A" w:rsidR="00941241" w:rsidRPr="004F67DE" w:rsidRDefault="007224CE" w:rsidP="004F67DE">
      <w:pPr>
        <w:rPr>
          <w:rFonts w:ascii="Aptos" w:hAnsi="Aptos" w:cs="Aptos"/>
        </w:rPr>
      </w:pPr>
      <w:r w:rsidRPr="007224CE">
        <w:t xml:space="preserve">Par dérogation à l’article 14.1 du CCAG-FCS, dans le cas de défaut de transmission des documents exigés au titre du BEGES (article 15.7 du présent CCAP), une pénalité de </w:t>
      </w:r>
      <w:r w:rsidR="003400C1">
        <w:t>50</w:t>
      </w:r>
      <w:r w:rsidRPr="007224CE">
        <w:t xml:space="preserve"> € est appliquée par jour de retard.</w:t>
      </w:r>
    </w:p>
    <w:p w14:paraId="6819F1AA" w14:textId="77777777" w:rsidR="00143C4E" w:rsidRDefault="001C2C8A" w:rsidP="008711C4">
      <w:pPr>
        <w:pStyle w:val="Titre1"/>
      </w:pPr>
      <w:bookmarkStart w:id="239" w:name="_Toc454294043"/>
      <w:bookmarkStart w:id="240" w:name="_Toc448150247"/>
      <w:bookmarkStart w:id="241" w:name="_Toc220490813"/>
      <w:bookmarkEnd w:id="239"/>
      <w:r>
        <w:t>CESSION ET NANTISSEMENT</w:t>
      </w:r>
      <w:bookmarkEnd w:id="240"/>
      <w:bookmarkEnd w:id="241"/>
    </w:p>
    <w:p w14:paraId="4F7D4D2A" w14:textId="5298F946" w:rsidR="005A6EA5" w:rsidRDefault="005A6EA5" w:rsidP="005A6EA5">
      <w:r w:rsidRPr="005A6EA5">
        <w:t>Le Marché public peut faire l’objet d’une cession ou d’un nantissement dans les conditions définies aux articles</w:t>
      </w:r>
      <w:r>
        <w:t xml:space="preserve"> </w:t>
      </w:r>
      <w:r w:rsidRPr="005A6EA5">
        <w:t>R. 2191-46 à R. 2191-63 du Code de la commande publique.</w:t>
      </w:r>
    </w:p>
    <w:p w14:paraId="5AEC5C68" w14:textId="77777777" w:rsidR="00E765BD" w:rsidRDefault="00E765BD" w:rsidP="00E765BD">
      <w:pPr>
        <w:pStyle w:val="Titre1"/>
      </w:pPr>
      <w:bookmarkStart w:id="242" w:name="_Toc220490814"/>
      <w:r>
        <w:lastRenderedPageBreak/>
        <w:t>SOUS-TRAITANCE</w:t>
      </w:r>
      <w:bookmarkEnd w:id="242"/>
    </w:p>
    <w:p w14:paraId="44E70FF7" w14:textId="7E53A72D" w:rsidR="005A6EA5" w:rsidRDefault="005A6EA5" w:rsidP="00882108">
      <w:r>
        <w:t>Le titulaire peut sous-traiter l’exécution de certaines parties du présent marché public</w:t>
      </w:r>
      <w:r w:rsidR="00E735E7">
        <w:t>,</w:t>
      </w:r>
      <w:r>
        <w:t xml:space="preserve"> à condition d’avoir obtenu du CNC l’acceptation de chaque sous-traitant et l’agrément de ses conditions de paiement dans les conditions fixées aux articles R. 2193-1 et suivants du Code de la commande publique.</w:t>
      </w:r>
    </w:p>
    <w:p w14:paraId="3974AF3E" w14:textId="2AE984A9" w:rsidR="005A6EA5" w:rsidRPr="00A36637" w:rsidRDefault="005A6EA5" w:rsidP="005A6EA5">
      <w:pPr>
        <w:pStyle w:val="Titre1"/>
      </w:pPr>
      <w:bookmarkStart w:id="243" w:name="_Toc220490815"/>
      <w:r>
        <w:t>INTERRUPTION DES PRESTATIONS</w:t>
      </w:r>
      <w:bookmarkEnd w:id="243"/>
    </w:p>
    <w:p w14:paraId="497B3769" w14:textId="77777777" w:rsidR="005A6EA5" w:rsidRDefault="005A6EA5" w:rsidP="005A6EA5">
      <w:r>
        <w:t xml:space="preserve">Il peut être fait application de l’article 20 du CCAG-PI. </w:t>
      </w:r>
    </w:p>
    <w:p w14:paraId="4B9EEF29" w14:textId="79EBC277" w:rsidR="005A6EA5" w:rsidRDefault="005A6EA5" w:rsidP="005A6EA5">
      <w:r>
        <w:t>Il est précisé que l’interruption peut également porter sur un audit commandé mais non réalisé.</w:t>
      </w:r>
    </w:p>
    <w:p w14:paraId="5A4EB917" w14:textId="386E9344" w:rsidR="001C2C8A" w:rsidRPr="00A36637" w:rsidRDefault="001C2C8A" w:rsidP="008711C4">
      <w:pPr>
        <w:pStyle w:val="Titre1"/>
      </w:pPr>
      <w:bookmarkStart w:id="244" w:name="_Toc448150249"/>
      <w:bookmarkStart w:id="245" w:name="_Toc220490816"/>
      <w:r>
        <w:t>RESILIATION</w:t>
      </w:r>
      <w:bookmarkEnd w:id="244"/>
      <w:bookmarkEnd w:id="245"/>
      <w:r w:rsidR="000E128A">
        <w:t xml:space="preserve"> </w:t>
      </w:r>
    </w:p>
    <w:p w14:paraId="191F882A" w14:textId="77777777" w:rsidR="001C245E" w:rsidRDefault="00403B69" w:rsidP="001C245E">
      <w:r>
        <w:t xml:space="preserve">Le </w:t>
      </w:r>
      <w:r w:rsidR="00EE4CE1">
        <w:t>Marché public</w:t>
      </w:r>
      <w:r w:rsidR="006D1330">
        <w:t xml:space="preserve"> </w:t>
      </w:r>
      <w:r>
        <w:t>est résilié conformément aux dispositions du CCAG</w:t>
      </w:r>
      <w:r w:rsidR="000E128A">
        <w:t>-PI</w:t>
      </w:r>
      <w:r>
        <w:t>.</w:t>
      </w:r>
    </w:p>
    <w:p w14:paraId="69B780CE" w14:textId="6DEF067D" w:rsidR="003D523D" w:rsidRDefault="00A01952" w:rsidP="000E128A">
      <w:r>
        <w:t>En application de</w:t>
      </w:r>
      <w:r w:rsidR="000E128A" w:rsidRPr="00853842">
        <w:t xml:space="preserve"> l’article </w:t>
      </w:r>
      <w:r w:rsidR="00205AB7">
        <w:t>27</w:t>
      </w:r>
      <w:r w:rsidR="000E128A" w:rsidRPr="00853842">
        <w:t xml:space="preserve"> du CCAG-PI, le CNC </w:t>
      </w:r>
      <w:r>
        <w:t xml:space="preserve">peut faire procéder par un tiers à l’exécution des </w:t>
      </w:r>
      <w:r w:rsidR="001223D9">
        <w:t>Prestations</w:t>
      </w:r>
      <w:r>
        <w:t xml:space="preserve"> prévues par le </w:t>
      </w:r>
      <w:r w:rsidR="00EE4CE1">
        <w:t>Marché public</w:t>
      </w:r>
      <w:r w:rsidR="00BC78AE">
        <w:t xml:space="preserve">, aux frais et risques du </w:t>
      </w:r>
      <w:r w:rsidR="008248CD">
        <w:t>Titulaire</w:t>
      </w:r>
      <w:r>
        <w:t xml:space="preserve">, soit en cas d’inexécution par ce dernier d’une prestation qui, par sa nature, ne peut souffrir </w:t>
      </w:r>
      <w:r w:rsidR="00C71A89">
        <w:t>d’</w:t>
      </w:r>
      <w:r>
        <w:t xml:space="preserve">aucun retard, soit en cas de résiliation du </w:t>
      </w:r>
      <w:r w:rsidR="00EE4CE1">
        <w:t>Marché public</w:t>
      </w:r>
      <w:r w:rsidR="005C62F8">
        <w:t xml:space="preserve"> </w:t>
      </w:r>
      <w:r w:rsidR="00BC78AE">
        <w:t xml:space="preserve">prononcée pour faute du </w:t>
      </w:r>
      <w:r w:rsidR="008248CD">
        <w:t>Titulaire</w:t>
      </w:r>
      <w:r>
        <w:t xml:space="preserve">. </w:t>
      </w:r>
    </w:p>
    <w:p w14:paraId="3FD55EF7" w14:textId="77777777" w:rsidR="002737C8" w:rsidRPr="00340481" w:rsidRDefault="002737C8" w:rsidP="002737C8">
      <w:pPr>
        <w:pStyle w:val="Titre1"/>
      </w:pPr>
      <w:bookmarkStart w:id="246" w:name="_Toc448482362"/>
      <w:bookmarkStart w:id="247" w:name="_Toc220490817"/>
      <w:r w:rsidRPr="002737C8">
        <w:t>Pièces</w:t>
      </w:r>
      <w:r w:rsidRPr="00340481">
        <w:t xml:space="preserve"> et attestations à fournir</w:t>
      </w:r>
      <w:bookmarkEnd w:id="246"/>
      <w:bookmarkEnd w:id="247"/>
    </w:p>
    <w:p w14:paraId="77A8F46E" w14:textId="77777777" w:rsidR="002737C8" w:rsidRPr="003B07B6" w:rsidRDefault="002737C8" w:rsidP="003B07B6">
      <w:pPr>
        <w:pStyle w:val="Titre2"/>
      </w:pPr>
      <w:bookmarkStart w:id="248" w:name="_Toc441669717"/>
      <w:bookmarkStart w:id="249" w:name="_Toc442101550"/>
      <w:bookmarkStart w:id="250" w:name="_Toc448482363"/>
      <w:bookmarkStart w:id="251" w:name="_Toc220490818"/>
      <w:r w:rsidRPr="003B07B6">
        <w:t>Assurance</w:t>
      </w:r>
      <w:bookmarkEnd w:id="248"/>
      <w:bookmarkEnd w:id="249"/>
      <w:bookmarkEnd w:id="250"/>
      <w:bookmarkEnd w:id="251"/>
    </w:p>
    <w:p w14:paraId="27B623D6" w14:textId="484B564F" w:rsidR="002737C8" w:rsidRDefault="002737C8" w:rsidP="00882108">
      <w:r>
        <w:t xml:space="preserve">Dans un délai de </w:t>
      </w:r>
      <w:r w:rsidR="004D728E">
        <w:t>quinze (</w:t>
      </w:r>
      <w:r>
        <w:t>15</w:t>
      </w:r>
      <w:r w:rsidR="004D728E">
        <w:t>)</w:t>
      </w:r>
      <w:r>
        <w:t xml:space="preserve"> jours à compter de la </w:t>
      </w:r>
      <w:r w:rsidR="001223D9">
        <w:t>n</w:t>
      </w:r>
      <w:r w:rsidR="006F1F90">
        <w:t>otification</w:t>
      </w:r>
      <w:r>
        <w:t xml:space="preserve"> du </w:t>
      </w:r>
      <w:r w:rsidR="00EE4CE1">
        <w:t>Marché public</w:t>
      </w:r>
      <w:r w:rsidR="00D85598">
        <w:t xml:space="preserve"> </w:t>
      </w:r>
      <w:r>
        <w:t xml:space="preserve">et avant tout commencement d'exécution, le </w:t>
      </w:r>
      <w:r w:rsidR="008248CD">
        <w:t>Titulaire</w:t>
      </w:r>
      <w:r>
        <w:t xml:space="preserve"> (et le cas échéant en cas de groupement, en la personne de chacune de ses composantes </w:t>
      </w:r>
      <w:r w:rsidR="00CF0810">
        <w:t>cotraitant</w:t>
      </w:r>
      <w:r w:rsidR="00E83208">
        <w:t>e</w:t>
      </w:r>
      <w:r w:rsidR="00CF0810">
        <w:t>s</w:t>
      </w:r>
      <w:r>
        <w:t xml:space="preserve"> et mandataire</w:t>
      </w:r>
      <w:r w:rsidR="00E83208">
        <w:t>s</w:t>
      </w:r>
      <w:r>
        <w:t xml:space="preserve">) doit justifier qu'il est </w:t>
      </w:r>
      <w:r w:rsidR="008248CD">
        <w:t>Titulaire</w:t>
      </w:r>
      <w:r>
        <w:t xml:space="preserve"> d'une assurance couvrant les responsabilités découlant des principes dont s'inspirent les articles 1792 et suivants du Code civil. </w:t>
      </w:r>
    </w:p>
    <w:p w14:paraId="11899699" w14:textId="77777777" w:rsidR="002737C8" w:rsidRDefault="002737C8" w:rsidP="00882108">
      <w:r>
        <w:t xml:space="preserve">Il s'engage, sur toute demande faite par les services du CNC ou en cas de modification des conditions de sa police d'assurance, à communiquer une attestation de souscription de la police d'assurance en cours de validité, dans un délai de </w:t>
      </w:r>
      <w:r w:rsidR="00CF0810">
        <w:t>quinze (</w:t>
      </w:r>
      <w:r>
        <w:t>15</w:t>
      </w:r>
      <w:r w:rsidR="00CF0810">
        <w:t>)</w:t>
      </w:r>
      <w:r>
        <w:t xml:space="preserve"> jours. </w:t>
      </w:r>
    </w:p>
    <w:p w14:paraId="6663147E" w14:textId="77777777" w:rsidR="002737C8" w:rsidRPr="003B07B6" w:rsidRDefault="002737C8" w:rsidP="003B07B6">
      <w:pPr>
        <w:pStyle w:val="Titre2"/>
      </w:pPr>
      <w:bookmarkStart w:id="252" w:name="_Toc441669718"/>
      <w:bookmarkStart w:id="253" w:name="_Toc442101551"/>
      <w:bookmarkStart w:id="254" w:name="_Toc448482364"/>
      <w:bookmarkStart w:id="255" w:name="_Toc220490819"/>
      <w:r w:rsidRPr="003B07B6">
        <w:t>Dispositif de vigilance (Article D 8222-5 du code du travail)</w:t>
      </w:r>
      <w:bookmarkEnd w:id="252"/>
      <w:bookmarkEnd w:id="253"/>
      <w:bookmarkEnd w:id="254"/>
      <w:bookmarkEnd w:id="255"/>
      <w:r w:rsidRPr="003B07B6">
        <w:t xml:space="preserve"> </w:t>
      </w:r>
    </w:p>
    <w:p w14:paraId="0216065C" w14:textId="5783C7F1" w:rsidR="002737C8" w:rsidRDefault="008F1831" w:rsidP="00882108">
      <w:r>
        <w:t xml:space="preserve">Le </w:t>
      </w:r>
      <w:r w:rsidR="008248CD">
        <w:t>Titulaire</w:t>
      </w:r>
      <w:r w:rsidR="002737C8">
        <w:t xml:space="preserve"> s’engage à fournir tous les </w:t>
      </w:r>
      <w:r w:rsidR="005E359D">
        <w:t>six (</w:t>
      </w:r>
      <w:r w:rsidR="002737C8">
        <w:t>6</w:t>
      </w:r>
      <w:r w:rsidR="005E359D">
        <w:t>)</w:t>
      </w:r>
      <w:r w:rsidR="002737C8">
        <w:t xml:space="preserve"> mois à compter de la </w:t>
      </w:r>
      <w:r w:rsidR="001223D9">
        <w:t>n</w:t>
      </w:r>
      <w:r w:rsidR="006F1F90">
        <w:t>otification</w:t>
      </w:r>
      <w:r w:rsidR="002737C8">
        <w:t xml:space="preserve"> du </w:t>
      </w:r>
      <w:r w:rsidR="00EE4CE1">
        <w:t>Marché public</w:t>
      </w:r>
      <w:r w:rsidR="00D021E4">
        <w:t xml:space="preserve"> </w:t>
      </w:r>
      <w:r w:rsidR="002737C8">
        <w:t xml:space="preserve">et jusqu’à la fin de l’exécution de celui-ci, les pièces et attestations sur l’honneur prévues à l’article D 8222-5 ou D 8222-7 du </w:t>
      </w:r>
      <w:r w:rsidR="009F4EB4">
        <w:t xml:space="preserve">Code </w:t>
      </w:r>
      <w:r w:rsidR="002737C8">
        <w:t xml:space="preserve">du travail. </w:t>
      </w:r>
    </w:p>
    <w:p w14:paraId="21FEB012" w14:textId="5ABA2D40" w:rsidR="002737C8" w:rsidRPr="00F44587" w:rsidRDefault="002737C8" w:rsidP="00882108">
      <w:r>
        <w:t xml:space="preserve">A défaut, le </w:t>
      </w:r>
      <w:r w:rsidR="00EE4CE1">
        <w:t>Marché public</w:t>
      </w:r>
      <w:r>
        <w:t xml:space="preserve"> est résilié dans les conditions prévues à l’article 3</w:t>
      </w:r>
      <w:r w:rsidR="00205AB7">
        <w:t>9</w:t>
      </w:r>
      <w:r>
        <w:t xml:space="preserve"> du CCAG-PI.</w:t>
      </w:r>
    </w:p>
    <w:p w14:paraId="42B5624E" w14:textId="77777777" w:rsidR="002737C8" w:rsidRPr="003B07B6" w:rsidRDefault="002737C8" w:rsidP="003B07B6">
      <w:pPr>
        <w:pStyle w:val="Titre2"/>
      </w:pPr>
      <w:bookmarkStart w:id="256" w:name="_Toc441669719"/>
      <w:bookmarkStart w:id="257" w:name="_Toc442101552"/>
      <w:bookmarkStart w:id="258" w:name="_Toc448482365"/>
      <w:bookmarkStart w:id="259" w:name="_Toc220490820"/>
      <w:r w:rsidRPr="003B07B6">
        <w:t>Dispositif d’alerte (Article L 8222-6 du code du travail)</w:t>
      </w:r>
      <w:bookmarkEnd w:id="256"/>
      <w:bookmarkEnd w:id="257"/>
      <w:bookmarkEnd w:id="258"/>
      <w:bookmarkEnd w:id="259"/>
      <w:r w:rsidRPr="003B07B6">
        <w:t xml:space="preserve"> </w:t>
      </w:r>
    </w:p>
    <w:p w14:paraId="43892AEB" w14:textId="3BB7F391" w:rsidR="002737C8" w:rsidRDefault="002737C8" w:rsidP="00882108">
      <w:r>
        <w:t xml:space="preserve">Si dans le cadre du dispositif d’alerte prévu à l’article L.8222-6 du </w:t>
      </w:r>
      <w:r w:rsidR="009F4EB4">
        <w:t xml:space="preserve">Code </w:t>
      </w:r>
      <w:r>
        <w:t xml:space="preserve">du travail, le </w:t>
      </w:r>
      <w:r w:rsidR="008248CD">
        <w:t>Titulaire</w:t>
      </w:r>
      <w:r>
        <w:t xml:space="preserve"> ne s’acquitte pas des formalités mentionnées aux articles L.8221-3 à L.8221-5 du </w:t>
      </w:r>
      <w:r w:rsidR="009F4EB4">
        <w:t xml:space="preserve">Code </w:t>
      </w:r>
      <w:r>
        <w:t xml:space="preserve">du travail, le CNC enjoint aussitôt au </w:t>
      </w:r>
      <w:r w:rsidR="008248CD">
        <w:t>Titulaire</w:t>
      </w:r>
      <w:r>
        <w:t xml:space="preserve"> de faire cesser la situation délictuelle.</w:t>
      </w:r>
    </w:p>
    <w:p w14:paraId="00405862" w14:textId="77777777" w:rsidR="002737C8" w:rsidRPr="00F44587" w:rsidRDefault="002737C8" w:rsidP="00882108">
      <w:r>
        <w:t xml:space="preserve">Le </w:t>
      </w:r>
      <w:r w:rsidR="008248CD">
        <w:t>Titulaire</w:t>
      </w:r>
      <w:r>
        <w:t xml:space="preserve"> a deux</w:t>
      </w:r>
      <w:r w:rsidR="007A15BA">
        <w:t xml:space="preserve"> (2)</w:t>
      </w:r>
      <w:r>
        <w:t xml:space="preserve"> mois à compter de cette mise en demeure pour apporter la preuve de la fin de la situation délictuelle, sans quoi, à l’issue de ces deux (2) mois, le </w:t>
      </w:r>
      <w:r w:rsidR="00EE4CE1">
        <w:t>Marché public</w:t>
      </w:r>
      <w:r w:rsidR="00F049C5">
        <w:t xml:space="preserve"> </w:t>
      </w:r>
      <w:r>
        <w:t xml:space="preserve">peut être résilié sans indemnité, aux frais et risques du </w:t>
      </w:r>
      <w:r w:rsidR="008248CD">
        <w:t>Titulaire</w:t>
      </w:r>
      <w:r>
        <w:t>.</w:t>
      </w:r>
    </w:p>
    <w:p w14:paraId="3F8B675E" w14:textId="77777777" w:rsidR="002737C8" w:rsidRPr="003B07B6" w:rsidRDefault="002737C8" w:rsidP="003B07B6">
      <w:pPr>
        <w:pStyle w:val="Titre2"/>
      </w:pPr>
      <w:bookmarkStart w:id="260" w:name="_Toc441669720"/>
      <w:bookmarkStart w:id="261" w:name="_Toc442101553"/>
      <w:bookmarkStart w:id="262" w:name="_Toc448482366"/>
      <w:bookmarkStart w:id="263" w:name="_Toc220490821"/>
      <w:r w:rsidRPr="003B07B6">
        <w:t>Liste nominative du personnel étranger</w:t>
      </w:r>
      <w:bookmarkEnd w:id="260"/>
      <w:bookmarkEnd w:id="261"/>
      <w:bookmarkEnd w:id="262"/>
      <w:bookmarkEnd w:id="263"/>
      <w:r w:rsidRPr="003B07B6">
        <w:t xml:space="preserve"> </w:t>
      </w:r>
    </w:p>
    <w:p w14:paraId="62094ABA" w14:textId="1B07DC1E" w:rsidR="002737C8" w:rsidRDefault="002737C8" w:rsidP="00882108">
      <w:r>
        <w:t xml:space="preserve">Conformément à l’article D. 8254-2 du </w:t>
      </w:r>
      <w:r w:rsidR="009F4EB4">
        <w:t xml:space="preserve">Code </w:t>
      </w:r>
      <w:r>
        <w:t xml:space="preserve">du travail, le </w:t>
      </w:r>
      <w:r w:rsidR="008248CD">
        <w:t>Titulaire</w:t>
      </w:r>
      <w:r>
        <w:t xml:space="preserve"> s’engage à remettre au CNC, avant tout début d’exécution, la liste nominative des salariés étrangers soumis à l’autorisation de travail prévue à l’article L.5221-2 et affectés à la réalisation des </w:t>
      </w:r>
      <w:r w:rsidR="001223D9">
        <w:t>Prestations</w:t>
      </w:r>
      <w:r>
        <w:t xml:space="preserve"> objet du </w:t>
      </w:r>
      <w:r w:rsidR="00EE4CE1">
        <w:t>Marché public</w:t>
      </w:r>
      <w:r>
        <w:t xml:space="preserve">. </w:t>
      </w:r>
    </w:p>
    <w:p w14:paraId="1984B809" w14:textId="77777777" w:rsidR="002737C8" w:rsidRDefault="002737C8" w:rsidP="00882108">
      <w:r>
        <w:t>Cette liste, établie à partir du registre du personnel, précise pour chaque salarié</w:t>
      </w:r>
      <w:r w:rsidR="00C55737">
        <w:t> </w:t>
      </w:r>
      <w:r>
        <w:t xml:space="preserve">: </w:t>
      </w:r>
    </w:p>
    <w:p w14:paraId="1394EB6B" w14:textId="77777777" w:rsidR="00A86B65" w:rsidRPr="00A86B65" w:rsidRDefault="00A86B65" w:rsidP="000C6986">
      <w:pPr>
        <w:pStyle w:val="Default"/>
        <w:contextualSpacing/>
        <w:jc w:val="both"/>
        <w:rPr>
          <w:sz w:val="8"/>
          <w:szCs w:val="20"/>
        </w:rPr>
      </w:pPr>
    </w:p>
    <w:p w14:paraId="5318198C" w14:textId="77777777" w:rsidR="002737C8" w:rsidRDefault="00FD7921" w:rsidP="00205AB7">
      <w:pPr>
        <w:pStyle w:val="Paragraphedeliste"/>
        <w:widowControl/>
        <w:numPr>
          <w:ilvl w:val="0"/>
          <w:numId w:val="7"/>
        </w:numPr>
        <w:autoSpaceDE/>
        <w:autoSpaceDN/>
        <w:adjustRightInd/>
        <w:spacing w:after="0"/>
      </w:pPr>
      <w:r>
        <w:t>S</w:t>
      </w:r>
      <w:r w:rsidR="002737C8">
        <w:t>a date d’embauche</w:t>
      </w:r>
      <w:r w:rsidR="00C55737">
        <w:t> </w:t>
      </w:r>
      <w:r w:rsidR="002737C8">
        <w:t xml:space="preserve">; </w:t>
      </w:r>
    </w:p>
    <w:p w14:paraId="5E98FA1B" w14:textId="77777777" w:rsidR="002737C8" w:rsidRDefault="00FD7921" w:rsidP="00205AB7">
      <w:pPr>
        <w:pStyle w:val="Paragraphedeliste"/>
        <w:widowControl/>
        <w:numPr>
          <w:ilvl w:val="0"/>
          <w:numId w:val="7"/>
        </w:numPr>
        <w:autoSpaceDE/>
        <w:autoSpaceDN/>
        <w:adjustRightInd/>
        <w:spacing w:after="0"/>
      </w:pPr>
      <w:r>
        <w:t>S</w:t>
      </w:r>
      <w:r w:rsidR="002737C8">
        <w:t>a nationalité</w:t>
      </w:r>
      <w:r w:rsidR="00C55737">
        <w:t> </w:t>
      </w:r>
      <w:r w:rsidR="002737C8">
        <w:t xml:space="preserve">; </w:t>
      </w:r>
    </w:p>
    <w:p w14:paraId="2DBFCD61" w14:textId="77777777" w:rsidR="002737C8" w:rsidRDefault="00FD7921" w:rsidP="00205AB7">
      <w:pPr>
        <w:pStyle w:val="Paragraphedeliste"/>
        <w:widowControl/>
        <w:numPr>
          <w:ilvl w:val="0"/>
          <w:numId w:val="7"/>
        </w:numPr>
        <w:autoSpaceDE/>
        <w:autoSpaceDN/>
        <w:adjustRightInd/>
        <w:spacing w:after="0"/>
      </w:pPr>
      <w:r>
        <w:t>Le</w:t>
      </w:r>
      <w:r w:rsidR="002737C8">
        <w:t xml:space="preserve"> type et le numéro d’ordre du titre valant autorisation de travail. </w:t>
      </w:r>
    </w:p>
    <w:p w14:paraId="3236C779" w14:textId="77777777" w:rsidR="002737C8" w:rsidRPr="00785F16" w:rsidRDefault="002737C8" w:rsidP="002737C8">
      <w:pPr>
        <w:pStyle w:val="Paragraphedeliste"/>
        <w:spacing w:after="0" w:line="276" w:lineRule="auto"/>
        <w:rPr>
          <w:sz w:val="12"/>
        </w:rPr>
      </w:pPr>
    </w:p>
    <w:p w14:paraId="7A8F4080" w14:textId="0C1EEDB8" w:rsidR="002737C8" w:rsidRPr="00F44587" w:rsidRDefault="002737C8" w:rsidP="00882108">
      <w:r>
        <w:t>En cas de non-respect de ces dispositions et après mise en demeure restée infructueuse</w:t>
      </w:r>
      <w:r w:rsidR="006E1788">
        <w:t>,</w:t>
      </w:r>
      <w:r>
        <w:t xml:space="preserve"> le </w:t>
      </w:r>
      <w:r w:rsidR="00EE4CE1">
        <w:t>Marché public</w:t>
      </w:r>
      <w:r>
        <w:t xml:space="preserve"> p</w:t>
      </w:r>
      <w:r w:rsidR="007A15BA">
        <w:t xml:space="preserve">eut être résilié pour faute du </w:t>
      </w:r>
      <w:r w:rsidR="008248CD">
        <w:t>Titulaire</w:t>
      </w:r>
      <w:r>
        <w:t>.</w:t>
      </w:r>
    </w:p>
    <w:p w14:paraId="64AA5CA5" w14:textId="77777777" w:rsidR="002737C8" w:rsidRPr="003B07B6" w:rsidRDefault="002737C8" w:rsidP="003B07B6">
      <w:pPr>
        <w:pStyle w:val="Titre2"/>
      </w:pPr>
      <w:bookmarkStart w:id="264" w:name="_Toc441669721"/>
      <w:bookmarkStart w:id="265" w:name="_Toc442101554"/>
      <w:bookmarkStart w:id="266" w:name="_Toc448482367"/>
      <w:bookmarkStart w:id="267" w:name="_Toc220490822"/>
      <w:r w:rsidRPr="003B07B6">
        <w:t>Obligations en matière de détachement des travailleurs</w:t>
      </w:r>
      <w:bookmarkEnd w:id="264"/>
      <w:bookmarkEnd w:id="265"/>
      <w:bookmarkEnd w:id="266"/>
      <w:bookmarkEnd w:id="267"/>
      <w:r w:rsidRPr="003B07B6">
        <w:t xml:space="preserve"> </w:t>
      </w:r>
    </w:p>
    <w:p w14:paraId="76B10060" w14:textId="17942798" w:rsidR="002737C8" w:rsidRDefault="00FD7921" w:rsidP="00882108">
      <w:r>
        <w:t xml:space="preserve">Tout </w:t>
      </w:r>
      <w:r w:rsidR="008248CD">
        <w:t>Titulaire</w:t>
      </w:r>
      <w:r w:rsidR="002737C8">
        <w:t xml:space="preserve"> établi hors de </w:t>
      </w:r>
      <w:r w:rsidR="00C55737">
        <w:t>France</w:t>
      </w:r>
      <w:r w:rsidR="002737C8">
        <w:t xml:space="preserve"> qui détache temporairement des salariés sur le territoire national est soumis à des obligations spécifiques fixées par les articles L. 1261-1 à L. 1265-1 et R. 1261-1 à D. 1265-1 </w:t>
      </w:r>
      <w:r w:rsidR="009F4EB4">
        <w:t xml:space="preserve">Code </w:t>
      </w:r>
      <w:r w:rsidR="002737C8">
        <w:t xml:space="preserve">du travail. </w:t>
      </w:r>
    </w:p>
    <w:p w14:paraId="7F686C4A" w14:textId="2906A88A" w:rsidR="002737C8" w:rsidRDefault="002737C8" w:rsidP="00882108">
      <w:r>
        <w:t>Il doit notamment adresser une déclaration, préalablement au détachement, à l</w:t>
      </w:r>
      <w:r w:rsidR="00C55737">
        <w:t>’</w:t>
      </w:r>
      <w:r w:rsidR="00F66E1B">
        <w:t>I</w:t>
      </w:r>
      <w:r>
        <w:t>nspection d</w:t>
      </w:r>
      <w:r w:rsidR="00EC6713">
        <w:t>u travail du lieu où débute la P</w:t>
      </w:r>
      <w:r>
        <w:t>restation et désigner un représentant de l</w:t>
      </w:r>
      <w:r w:rsidR="00C55737">
        <w:t>’</w:t>
      </w:r>
      <w:r>
        <w:t>entreprise sur le territoire national, chargé d</w:t>
      </w:r>
      <w:r w:rsidR="00C55737">
        <w:t>’</w:t>
      </w:r>
      <w:r>
        <w:t>assurer la liaison avec les agents de contrôle com</w:t>
      </w:r>
      <w:r w:rsidR="00EC6713">
        <w:t>pétents pendant la durée de la P</w:t>
      </w:r>
      <w:r>
        <w:t xml:space="preserve">restation. </w:t>
      </w:r>
    </w:p>
    <w:p w14:paraId="640F582E" w14:textId="0F19B755" w:rsidR="002737C8" w:rsidRDefault="00F66E1B" w:rsidP="00882108">
      <w:r>
        <w:t>À cet effet</w:t>
      </w:r>
      <w:r w:rsidR="002737C8">
        <w:t xml:space="preserve"> et conformément à l’article R. 1263-12 du code du travail, le </w:t>
      </w:r>
      <w:r w:rsidR="008248CD">
        <w:t>Titulaire</w:t>
      </w:r>
      <w:r w:rsidR="002737C8">
        <w:t xml:space="preserve"> adresse au CNC, le cas échéant, avant le début de chaque détachement d’un ou de plusieurs salariés, les deux</w:t>
      </w:r>
      <w:r w:rsidR="0024021A">
        <w:t xml:space="preserve"> (2)</w:t>
      </w:r>
      <w:r w:rsidR="002737C8">
        <w:t xml:space="preserve"> </w:t>
      </w:r>
      <w:r w:rsidR="002737C8" w:rsidRPr="00882108">
        <w:t>documents suivants</w:t>
      </w:r>
      <w:r w:rsidR="00C55737" w:rsidRPr="00882108">
        <w:t> </w:t>
      </w:r>
      <w:r w:rsidR="002737C8" w:rsidRPr="00882108">
        <w:t>:</w:t>
      </w:r>
      <w:r w:rsidR="002737C8">
        <w:t xml:space="preserve"> </w:t>
      </w:r>
    </w:p>
    <w:p w14:paraId="3BB6BBF2" w14:textId="5CD1A983" w:rsidR="002737C8" w:rsidRPr="00F44587" w:rsidRDefault="002737C8" w:rsidP="00205AB7">
      <w:pPr>
        <w:pStyle w:val="Paragraphedeliste"/>
        <w:widowControl/>
        <w:numPr>
          <w:ilvl w:val="0"/>
          <w:numId w:val="7"/>
        </w:numPr>
        <w:autoSpaceDE/>
        <w:autoSpaceDN/>
        <w:adjustRightInd/>
        <w:spacing w:after="0"/>
      </w:pPr>
      <w:r>
        <w:t>Une copie de la déclaration de détachement transmise à l</w:t>
      </w:r>
      <w:r w:rsidR="00C55737">
        <w:t>’</w:t>
      </w:r>
      <w:r>
        <w:t>unité territoriale de la direction régionale des entreprises, de la concurrence, de la consommation</w:t>
      </w:r>
      <w:r w:rsidR="00F66E1B">
        <w:t>,</w:t>
      </w:r>
      <w:r>
        <w:t xml:space="preserve"> du travail et de l</w:t>
      </w:r>
      <w:r w:rsidR="00C55737">
        <w:t>’</w:t>
      </w:r>
      <w:r>
        <w:t>emploi</w:t>
      </w:r>
      <w:r w:rsidR="00C55737">
        <w:t> </w:t>
      </w:r>
      <w:r>
        <w:t xml:space="preserve">; </w:t>
      </w:r>
    </w:p>
    <w:p w14:paraId="6C550795" w14:textId="77777777" w:rsidR="002737C8" w:rsidRDefault="002737C8" w:rsidP="00205AB7">
      <w:pPr>
        <w:pStyle w:val="Paragraphedeliste"/>
        <w:widowControl/>
        <w:numPr>
          <w:ilvl w:val="0"/>
          <w:numId w:val="7"/>
        </w:numPr>
        <w:autoSpaceDE/>
        <w:autoSpaceDN/>
        <w:adjustRightInd/>
        <w:spacing w:after="0"/>
      </w:pPr>
      <w:r>
        <w:t>Une copie du document désignant son représentant sur le territoire national.</w:t>
      </w:r>
    </w:p>
    <w:p w14:paraId="1510C2B6" w14:textId="77777777" w:rsidR="002737C8" w:rsidRPr="0073140E" w:rsidRDefault="002737C8" w:rsidP="002646C5">
      <w:pPr>
        <w:pStyle w:val="Paragraphedeliste"/>
        <w:spacing w:after="0"/>
        <w:ind w:left="720"/>
        <w:rPr>
          <w:sz w:val="10"/>
        </w:rPr>
      </w:pPr>
    </w:p>
    <w:p w14:paraId="3F0A8307" w14:textId="35351557" w:rsidR="002737C8" w:rsidRDefault="002737C8" w:rsidP="00882108">
      <w:r>
        <w:t xml:space="preserve">En application de l’article L. 1262-4-1 du code du travail, le CNC vérifie que le </w:t>
      </w:r>
      <w:r w:rsidR="008248CD">
        <w:t>Titulaire</w:t>
      </w:r>
      <w:r>
        <w:t xml:space="preserve"> qui détache des salariés a bien adressé une déclaration, préalablement au détachement, à l’inspection du travail et désigné un représentant sur le territoire national</w:t>
      </w:r>
      <w:r w:rsidR="00FD7921">
        <w:t>.</w:t>
      </w:r>
    </w:p>
    <w:p w14:paraId="4EF797EA" w14:textId="3ADB1F06" w:rsidR="00B01CB5" w:rsidRPr="00B01CB5" w:rsidRDefault="00A95DF2" w:rsidP="00B01CB5">
      <w:pPr>
        <w:pStyle w:val="Titre2"/>
      </w:pPr>
      <w:bookmarkStart w:id="268" w:name="_Toc220490823"/>
      <w:bookmarkStart w:id="269" w:name="_Hlk220490512"/>
      <w:r w:rsidRPr="00B01CB5">
        <w:t xml:space="preserve">Clause </w:t>
      </w:r>
      <w:r w:rsidR="00A816D2">
        <w:t>« </w:t>
      </w:r>
      <w:r w:rsidR="00513B3D">
        <w:t>D</w:t>
      </w:r>
      <w:r w:rsidR="00A816D2" w:rsidRPr="00B01CB5">
        <w:t>iversit</w:t>
      </w:r>
      <w:r w:rsidR="00A816D2">
        <w:t>é</w:t>
      </w:r>
      <w:r w:rsidR="00513B3D" w:rsidRPr="00513B3D">
        <w:t xml:space="preserve"> </w:t>
      </w:r>
      <w:r w:rsidR="00513B3D">
        <w:t>et E</w:t>
      </w:r>
      <w:r w:rsidR="00513B3D" w:rsidRPr="00B01CB5">
        <w:t>galite</w:t>
      </w:r>
      <w:r w:rsidR="00A816D2">
        <w:t> »</w:t>
      </w:r>
      <w:bookmarkEnd w:id="268"/>
      <w:r w:rsidR="00A816D2">
        <w:t> </w:t>
      </w:r>
    </w:p>
    <w:bookmarkEnd w:id="269"/>
    <w:p w14:paraId="0B8BCF24" w14:textId="0AA611AD" w:rsidR="00B01CB5" w:rsidRPr="00B01CB5" w:rsidRDefault="00B01CB5" w:rsidP="00B01CB5">
      <w:pPr>
        <w:pStyle w:val="Titre3"/>
        <w:rPr>
          <w:rFonts w:eastAsiaTheme="majorEastAsia"/>
          <w:noProof/>
        </w:rPr>
      </w:pPr>
      <w:r w:rsidRPr="00B01CB5">
        <w:rPr>
          <w:rFonts w:eastAsiaTheme="majorEastAsia"/>
          <w:noProof/>
        </w:rPr>
        <w:t>Contexte et objectifs</w:t>
      </w:r>
    </w:p>
    <w:p w14:paraId="0D965779" w14:textId="77777777" w:rsidR="00B01CB5" w:rsidRPr="00B01CB5" w:rsidRDefault="00B01CB5" w:rsidP="00B01CB5">
      <w:pPr>
        <w:spacing w:line="276" w:lineRule="auto"/>
        <w:rPr>
          <w:rFonts w:eastAsiaTheme="minorHAnsi"/>
        </w:rPr>
      </w:pPr>
      <w:r w:rsidRPr="00B01CB5">
        <w:rPr>
          <w:rFonts w:eastAsiaTheme="minorHAnsi"/>
        </w:rPr>
        <w:t xml:space="preserve">Dans le cadre de sa candidature au double label « Diversité » et « Egalité », le CNC s'est engagé à mettre en œuvre des actions, procédures et outils afin de garantir l'égalité de traitement des personnels dans ses procédures de gestion des ressources humaines et progresser en matière d'égalité entre les femmes et les hommes. </w:t>
      </w:r>
    </w:p>
    <w:p w14:paraId="5BA663B2" w14:textId="77777777" w:rsidR="00B01CB5" w:rsidRPr="00B01CB5" w:rsidRDefault="00B01CB5" w:rsidP="00B01CB5">
      <w:pPr>
        <w:spacing w:line="276" w:lineRule="auto"/>
        <w:rPr>
          <w:rFonts w:eastAsiaTheme="minorHAnsi"/>
        </w:rPr>
      </w:pPr>
      <w:r w:rsidRPr="00B01CB5">
        <w:rPr>
          <w:rFonts w:eastAsiaTheme="minorHAnsi"/>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p w14:paraId="194B79FC" w14:textId="77777777" w:rsidR="00B01CB5" w:rsidRPr="00B01CB5" w:rsidRDefault="00B01CB5" w:rsidP="00B01CB5">
      <w:pPr>
        <w:spacing w:line="276" w:lineRule="auto"/>
        <w:rPr>
          <w:rFonts w:eastAsiaTheme="minorHAnsi"/>
        </w:rPr>
      </w:pPr>
      <w:r w:rsidRPr="00B01CB5">
        <w:rPr>
          <w:rFonts w:eastAsiaTheme="minorHAnsi"/>
        </w:rPr>
        <w:t>En parallèle des actions internes qu’il met en en œuvre, le CNC souhaite impliquer ses différents partenaires, dont ses fournisseurs, dans la prise en compte de ces problématiques. Le CNC a ainsi choisie d’en faire une composante de sa politique d’achats responsables et de mobiliser ses fournisseurs sur ces enjeux.</w:t>
      </w:r>
    </w:p>
    <w:p w14:paraId="7F93759C" w14:textId="3DCC7EEC" w:rsidR="00B01CB5" w:rsidRPr="00B01CB5" w:rsidRDefault="00B01CB5" w:rsidP="00B01CB5">
      <w:pPr>
        <w:spacing w:line="276" w:lineRule="auto"/>
        <w:rPr>
          <w:rFonts w:eastAsiaTheme="minorHAnsi"/>
        </w:rPr>
      </w:pPr>
      <w:r w:rsidRPr="00B01CB5">
        <w:rPr>
          <w:rFonts w:eastAsiaTheme="minorHAnsi"/>
        </w:rPr>
        <w:t xml:space="preserve">Dans ce cadre, le </w:t>
      </w:r>
      <w:r w:rsidR="009F4EB4">
        <w:rPr>
          <w:rFonts w:eastAsiaTheme="minorHAnsi"/>
        </w:rPr>
        <w:t>T</w:t>
      </w:r>
      <w:r w:rsidRPr="00B01CB5">
        <w:rPr>
          <w:rFonts w:eastAsiaTheme="minorHAnsi"/>
        </w:rPr>
        <w:t>itulaire mettra en œuvre les dispositions figurant à l’article 1</w:t>
      </w:r>
      <w:r w:rsidR="00863E28">
        <w:rPr>
          <w:rFonts w:eastAsiaTheme="minorHAnsi"/>
        </w:rPr>
        <w:t>5</w:t>
      </w:r>
      <w:r w:rsidRPr="00B01CB5">
        <w:rPr>
          <w:rFonts w:eastAsiaTheme="minorHAnsi"/>
        </w:rPr>
        <w:t>.6.2 du CC</w:t>
      </w:r>
      <w:r w:rsidR="00863E28">
        <w:rPr>
          <w:rFonts w:eastAsiaTheme="minorHAnsi"/>
        </w:rPr>
        <w:t>A</w:t>
      </w:r>
      <w:r w:rsidRPr="00B01CB5">
        <w:rPr>
          <w:rFonts w:eastAsiaTheme="minorHAnsi"/>
        </w:rPr>
        <w:t>P</w:t>
      </w:r>
      <w:r w:rsidR="007D5A19">
        <w:rPr>
          <w:rFonts w:eastAsiaTheme="minorHAnsi"/>
        </w:rPr>
        <w:t>.</w:t>
      </w:r>
      <w:r w:rsidRPr="00B01CB5">
        <w:rPr>
          <w:rFonts w:eastAsiaTheme="minorHAnsi"/>
        </w:rPr>
        <w:t xml:space="preserve"> </w:t>
      </w:r>
    </w:p>
    <w:p w14:paraId="5713E34C" w14:textId="0AEEAA95" w:rsidR="00B01CB5" w:rsidRPr="00B01CB5" w:rsidRDefault="00B01CB5" w:rsidP="00B01CB5">
      <w:pPr>
        <w:pStyle w:val="Titre3"/>
        <w:rPr>
          <w:rFonts w:eastAsiaTheme="majorEastAsia"/>
          <w:noProof/>
        </w:rPr>
      </w:pPr>
      <w:r w:rsidRPr="00B01CB5">
        <w:rPr>
          <w:rFonts w:eastAsiaTheme="majorEastAsia"/>
          <w:noProof/>
        </w:rPr>
        <w:t>Obligations du titulaire</w:t>
      </w:r>
    </w:p>
    <w:p w14:paraId="3103BDBE" w14:textId="22975C6B" w:rsidR="00B01CB5" w:rsidRPr="00B01CB5" w:rsidRDefault="00B01CB5" w:rsidP="00B01CB5">
      <w:pPr>
        <w:spacing w:line="276" w:lineRule="auto"/>
        <w:rPr>
          <w:rFonts w:eastAsiaTheme="minorHAnsi"/>
        </w:rPr>
      </w:pPr>
      <w:r w:rsidRPr="00B01CB5">
        <w:rPr>
          <w:rFonts w:eastAsiaTheme="minorHAnsi"/>
        </w:rPr>
        <w:t xml:space="preserve">Si le </w:t>
      </w:r>
      <w:r w:rsidR="009F4EB4">
        <w:rPr>
          <w:rFonts w:eastAsiaTheme="minorHAnsi"/>
        </w:rPr>
        <w:t>T</w:t>
      </w:r>
      <w:r w:rsidRPr="00B01CB5">
        <w:rPr>
          <w:rFonts w:eastAsiaTheme="minorHAnsi"/>
        </w:rPr>
        <w:t xml:space="preserve">itulaire n’a pas remis le questionnaire « Egalité &amp; Diversité », fourni en annexe, lors du dépôt de son offre, il renseigne le questionnaire et le transmet au CNC par courriel, dans un délai de 15 jours suivants la date de notification du marché, aux coordonnées ci-dessous, ou à toutes autres coordonnées communiquées au </w:t>
      </w:r>
      <w:r w:rsidR="009F4EB4">
        <w:rPr>
          <w:rFonts w:eastAsiaTheme="minorHAnsi"/>
        </w:rPr>
        <w:t>T</w:t>
      </w:r>
      <w:r w:rsidRPr="00B01CB5">
        <w:rPr>
          <w:rFonts w:eastAsiaTheme="minorHAnsi"/>
        </w:rPr>
        <w:t>itulaire par le CNC :</w:t>
      </w:r>
    </w:p>
    <w:p w14:paraId="7792E169" w14:textId="77777777" w:rsidR="00B01CB5" w:rsidRPr="00B01CB5" w:rsidRDefault="00B01CB5" w:rsidP="00B01CB5">
      <w:pPr>
        <w:spacing w:line="276" w:lineRule="auto"/>
        <w:jc w:val="center"/>
        <w:rPr>
          <w:rFonts w:eastAsiaTheme="minorHAnsi"/>
        </w:rPr>
      </w:pPr>
      <w:hyperlink r:id="rId12" w:history="1">
        <w:r w:rsidRPr="00B01CB5">
          <w:rPr>
            <w:rFonts w:ascii="Calibri" w:eastAsia="Calibri" w:hAnsi="Calibri" w:cs="Calibri"/>
            <w:color w:val="0000FF"/>
            <w:sz w:val="22"/>
            <w:szCs w:val="22"/>
            <w:u w:val="single"/>
            <w:lang w:eastAsia="en-US"/>
          </w:rPr>
          <w:t>desproegalitediversite@cnc.fr</w:t>
        </w:r>
      </w:hyperlink>
    </w:p>
    <w:p w14:paraId="58DE6C9C" w14:textId="77777777" w:rsidR="00B01CB5" w:rsidRPr="00B01CB5" w:rsidRDefault="00B01CB5" w:rsidP="00B01CB5">
      <w:pPr>
        <w:spacing w:line="276" w:lineRule="auto"/>
        <w:rPr>
          <w:rFonts w:eastAsiaTheme="minorHAnsi"/>
        </w:rPr>
      </w:pPr>
      <w:r w:rsidRPr="00B01CB5">
        <w:rPr>
          <w:rFonts w:eastAsiaTheme="minorHAnsi"/>
        </w:rPr>
        <w:t>Dans une démarche d'amélioration et de progrès, le titulaire s'engage à actualiser ce questionnaire et le transmettre au CNC dans un délai de 15 jours suivant la date de notification du marché, puis chaque année, dans un délai de 15 jours suivant la date anniversaire de la notification.</w:t>
      </w:r>
    </w:p>
    <w:p w14:paraId="67F97310" w14:textId="77777777" w:rsidR="00B01CB5" w:rsidRDefault="00B01CB5" w:rsidP="00B01CB5">
      <w:pPr>
        <w:spacing w:line="276" w:lineRule="auto"/>
        <w:rPr>
          <w:rFonts w:eastAsiaTheme="minorHAnsi"/>
        </w:rPr>
      </w:pPr>
      <w:r w:rsidRPr="00B01CB5">
        <w:rPr>
          <w:rFonts w:eastAsiaTheme="minorHAnsi"/>
        </w:rPr>
        <w:t xml:space="preserve">Le CNC pourra comparer la situation décrite à celle présentée initialement. Sur demande, les résultats </w:t>
      </w:r>
      <w:r w:rsidRPr="00B01CB5">
        <w:rPr>
          <w:rFonts w:eastAsiaTheme="minorHAnsi"/>
        </w:rPr>
        <w:lastRenderedPageBreak/>
        <w:t>pourront être adressés au titulaire.</w:t>
      </w:r>
    </w:p>
    <w:p w14:paraId="0AF2DD87" w14:textId="5E486DEC" w:rsidR="00554C97" w:rsidRPr="00B01CB5" w:rsidRDefault="00554C97" w:rsidP="00554C97">
      <w:pPr>
        <w:pStyle w:val="Titre2"/>
      </w:pPr>
      <w:bookmarkStart w:id="270" w:name="_Toc220490824"/>
      <w:r w:rsidRPr="00554C97">
        <w:t>Communication du BEGES</w:t>
      </w:r>
      <w:bookmarkEnd w:id="270"/>
    </w:p>
    <w:p w14:paraId="029FE5E2" w14:textId="069B1501" w:rsidR="00554C97" w:rsidRPr="00554C97" w:rsidRDefault="00554C97" w:rsidP="00554C97">
      <w:pPr>
        <w:spacing w:line="276" w:lineRule="auto"/>
        <w:rPr>
          <w:rFonts w:eastAsiaTheme="minorHAnsi"/>
        </w:rPr>
      </w:pPr>
      <w:r w:rsidRPr="00554C97">
        <w:rPr>
          <w:rFonts w:eastAsiaTheme="minorHAnsi"/>
        </w:rPr>
        <w:t>En application de la circulaire n° 6425-SG du 21 novembre 2023 relative à l’engagement pour la transformation écologique de l’État, il est exigé des titulaires soumis</w:t>
      </w:r>
      <w:r>
        <w:rPr>
          <w:rStyle w:val="Appelnotedebasdep"/>
          <w:rFonts w:eastAsiaTheme="minorHAnsi"/>
        </w:rPr>
        <w:footnoteReference w:id="1"/>
      </w:r>
      <w:r w:rsidRPr="00554C97">
        <w:rPr>
          <w:rFonts w:eastAsiaTheme="minorHAnsi"/>
        </w:rPr>
        <w:t xml:space="preserve"> à l’article L.229-25 du code de l'environnement, de communiquer à l’acheteur leur BEGES et le plan de transition associé dans un délai maximum de six (6) mois après la notification du marché. Pour les sous-traitants qui sont eux-mêmes soumis à l’article L.229- 25 du code de l’environnement, la communication du BEGES et du plan de transition associé intervient dans le même délai que pour le titulaire, si la déclaration de sous-traitance intervient au moment du dépôt de l’offre. Si la déclaration de sous-traitance intervient après la notification du marché, alors il doit communiquer le BEGES et le plan de transition associé dans un délai maximum de six (6) mois à compter de l’acceptation du sous-traitant constatée dans les conditions prévues à l’article R.2193-4 du code de la commande publique. Le BEGES doit couvrir toute la durée d’exécution du marché. Si le BEGES communiqué après notification du marché arrive à échéance durant l’exécution du marché, un nouveau BEGES (et le plan de transition associé) est transmis par le titulaire (et, le cas échéant, le ou les sous-traitants concernés) à l’acheteur, au plus tard six (6) mois après la date d’expiration du BEGES initial.</w:t>
      </w:r>
    </w:p>
    <w:p w14:paraId="6620B3EA" w14:textId="14BC1F1D" w:rsidR="00554C97" w:rsidRPr="00B01CB5" w:rsidRDefault="00554C97" w:rsidP="00554C97">
      <w:pPr>
        <w:spacing w:line="276" w:lineRule="auto"/>
        <w:rPr>
          <w:rFonts w:eastAsiaTheme="minorHAnsi"/>
        </w:rPr>
      </w:pPr>
      <w:r w:rsidRPr="00554C97">
        <w:rPr>
          <w:rFonts w:eastAsiaTheme="minorHAnsi"/>
        </w:rPr>
        <w:t xml:space="preserve">La communication du BEGES doit impérativement être effectuée en utilisant le site internet de l’ADEME (https://bilans-ges.ademe.fr/), conformément à l’article L. 229-25 du code de l'environnement et à l’arrêté du 25 janvier 2016 relatif à la plate-forme informatique pour la transmission des bilans d'émission de gaz à effet de serre. Les plans de transition sont communiqués sur cette même page. Toutefois, les titulaires (et les sous-traitants concernés) lorsqu’ils transmettent les informations relatives au plan de transition, peuvent renvoyer vers la section de leur rapport de gestion ou de leur rapport sur la gestion du groupe prévue aux articles L. 232-6-3 et L. 233-28-4 du code de commerce, selon le cas, sous réserve que ce plan soit facilement identifiable et comprenne les descriptions mentionnées à l'alinéa précédent spécifiques aux activités exercées sur le territoire national. </w:t>
      </w:r>
    </w:p>
    <w:p w14:paraId="11518541" w14:textId="77777777" w:rsidR="001C2C8A" w:rsidRPr="00A36637" w:rsidRDefault="001C2C8A" w:rsidP="008711C4">
      <w:pPr>
        <w:pStyle w:val="Titre1"/>
      </w:pPr>
      <w:bookmarkStart w:id="271" w:name="_Toc448150250"/>
      <w:bookmarkStart w:id="272" w:name="_Toc220490825"/>
      <w:r>
        <w:t>DIFFERENDS ET LITIGES</w:t>
      </w:r>
      <w:bookmarkEnd w:id="271"/>
      <w:bookmarkEnd w:id="272"/>
    </w:p>
    <w:p w14:paraId="1C14FB52" w14:textId="0A954824" w:rsidR="007D5A19" w:rsidRDefault="00896E80" w:rsidP="00882108">
      <w:r>
        <w:t xml:space="preserve">En cas de litige, la loi française est seule applicable. </w:t>
      </w:r>
      <w:r w:rsidR="00AB5D95">
        <w:t xml:space="preserve">Pour tout différend qui s’élèverait entre les parties et </w:t>
      </w:r>
      <w:r w:rsidR="00AB5D95" w:rsidRPr="00853842">
        <w:t>s’il ne peut être obtenu un accord amiable, la juridict</w:t>
      </w:r>
      <w:r w:rsidR="002D7CFD">
        <w:t>ion compétente est le Tribunal a</w:t>
      </w:r>
      <w:r w:rsidR="00AB5D95" w:rsidRPr="00853842">
        <w:t>dministratif de Paris.</w:t>
      </w:r>
    </w:p>
    <w:p w14:paraId="4960C757" w14:textId="77777777" w:rsidR="001C2C8A" w:rsidRDefault="001C2C8A" w:rsidP="008711C4">
      <w:pPr>
        <w:pStyle w:val="Titre1"/>
      </w:pPr>
      <w:bookmarkStart w:id="273" w:name="_Toc448150251"/>
      <w:bookmarkStart w:id="274" w:name="_Toc220490826"/>
      <w:r>
        <w:t>DEROGATIONS AU CCAG-PI</w:t>
      </w:r>
      <w:bookmarkEnd w:id="273"/>
      <w:bookmarkEnd w:id="274"/>
    </w:p>
    <w:tbl>
      <w:tblPr>
        <w:tblStyle w:val="Grilledutableau"/>
        <w:tblW w:w="5000" w:type="pct"/>
        <w:tblLook w:val="04A0" w:firstRow="1" w:lastRow="0" w:firstColumn="1" w:lastColumn="0" w:noHBand="0" w:noVBand="1"/>
      </w:tblPr>
      <w:tblGrid>
        <w:gridCol w:w="4377"/>
        <w:gridCol w:w="4686"/>
      </w:tblGrid>
      <w:tr w:rsidR="00CA097E" w14:paraId="66FB45B0" w14:textId="77777777" w:rsidTr="006E443E">
        <w:trPr>
          <w:trHeight w:val="405"/>
        </w:trPr>
        <w:tc>
          <w:tcPr>
            <w:tcW w:w="2415" w:type="pct"/>
            <w:tcBorders>
              <w:bottom w:val="single" w:sz="4" w:space="0" w:color="auto"/>
            </w:tcBorders>
            <w:shd w:val="clear" w:color="auto" w:fill="C6D9F1" w:themeFill="text2" w:themeFillTint="33"/>
            <w:vAlign w:val="center"/>
          </w:tcPr>
          <w:p w14:paraId="20CC23F5" w14:textId="3D536B3E" w:rsidR="00CA097E" w:rsidRPr="00785F16" w:rsidRDefault="00CA097E" w:rsidP="00CA097E">
            <w:pPr>
              <w:jc w:val="center"/>
              <w:rPr>
                <w:b/>
              </w:rPr>
            </w:pPr>
            <w:r w:rsidRPr="00785F16">
              <w:rPr>
                <w:b/>
              </w:rPr>
              <w:t>Article du présent CC</w:t>
            </w:r>
            <w:r w:rsidR="0091594A">
              <w:rPr>
                <w:b/>
              </w:rPr>
              <w:t>A</w:t>
            </w:r>
            <w:r w:rsidRPr="00785F16">
              <w:rPr>
                <w:b/>
              </w:rPr>
              <w:t>P</w:t>
            </w:r>
          </w:p>
        </w:tc>
        <w:tc>
          <w:tcPr>
            <w:tcW w:w="2585" w:type="pct"/>
            <w:tcBorders>
              <w:bottom w:val="single" w:sz="4" w:space="0" w:color="auto"/>
            </w:tcBorders>
            <w:shd w:val="clear" w:color="auto" w:fill="C6D9F1" w:themeFill="text2" w:themeFillTint="33"/>
            <w:vAlign w:val="center"/>
          </w:tcPr>
          <w:p w14:paraId="528C2F31" w14:textId="77777777" w:rsidR="00CA097E" w:rsidRPr="00785F16" w:rsidRDefault="00CA097E" w:rsidP="00CA097E">
            <w:pPr>
              <w:jc w:val="center"/>
              <w:rPr>
                <w:b/>
              </w:rPr>
            </w:pPr>
            <w:r w:rsidRPr="00785F16">
              <w:rPr>
                <w:b/>
              </w:rPr>
              <w:t>Article auquel il est fait dérogation dans le CCAG-PI</w:t>
            </w:r>
          </w:p>
        </w:tc>
      </w:tr>
      <w:tr w:rsidR="00DC175A" w14:paraId="76787E6C" w14:textId="77777777" w:rsidTr="00C55737">
        <w:trPr>
          <w:trHeight w:val="340"/>
        </w:trPr>
        <w:tc>
          <w:tcPr>
            <w:tcW w:w="2415" w:type="pct"/>
            <w:vAlign w:val="center"/>
          </w:tcPr>
          <w:p w14:paraId="6F611BC0" w14:textId="4AC3319F" w:rsidR="00DC175A" w:rsidRPr="006C4FC7" w:rsidRDefault="00205AB7" w:rsidP="00205AB7">
            <w:pPr>
              <w:spacing w:after="0"/>
              <w:jc w:val="center"/>
            </w:pPr>
            <w:r w:rsidRPr="00205AB7">
              <w:t xml:space="preserve">4 - </w:t>
            </w:r>
            <w:r>
              <w:t>D</w:t>
            </w:r>
            <w:r w:rsidRPr="00205AB7">
              <w:t>ocuments contractuels</w:t>
            </w:r>
          </w:p>
        </w:tc>
        <w:tc>
          <w:tcPr>
            <w:tcW w:w="2585" w:type="pct"/>
            <w:vAlign w:val="center"/>
          </w:tcPr>
          <w:p w14:paraId="7B729985" w14:textId="6640428B" w:rsidR="00DC175A" w:rsidRPr="006C4FC7" w:rsidRDefault="00205AB7" w:rsidP="00205AB7">
            <w:pPr>
              <w:spacing w:after="0"/>
              <w:jc w:val="center"/>
            </w:pPr>
            <w:r>
              <w:t>4</w:t>
            </w:r>
            <w:r w:rsidR="00DC175A" w:rsidRPr="006C4FC7">
              <w:t>.1</w:t>
            </w:r>
            <w:r>
              <w:t xml:space="preserve"> </w:t>
            </w:r>
          </w:p>
        </w:tc>
      </w:tr>
      <w:tr w:rsidR="00EB005F" w14:paraId="3FE7673A" w14:textId="77777777" w:rsidTr="006E443E">
        <w:trPr>
          <w:trHeight w:val="340"/>
        </w:trPr>
        <w:tc>
          <w:tcPr>
            <w:tcW w:w="2415" w:type="pct"/>
            <w:tcBorders>
              <w:bottom w:val="single" w:sz="4" w:space="0" w:color="auto"/>
            </w:tcBorders>
            <w:vAlign w:val="center"/>
          </w:tcPr>
          <w:p w14:paraId="2702F724" w14:textId="402C4E40" w:rsidR="00EB005F" w:rsidRDefault="00EB005F" w:rsidP="00205AB7">
            <w:pPr>
              <w:spacing w:after="0"/>
              <w:jc w:val="center"/>
            </w:pPr>
            <w:r>
              <w:t xml:space="preserve">5.6 - </w:t>
            </w:r>
            <w:r w:rsidRPr="00EB005F">
              <w:t>Formes des communications</w:t>
            </w:r>
          </w:p>
        </w:tc>
        <w:tc>
          <w:tcPr>
            <w:tcW w:w="2585" w:type="pct"/>
            <w:tcBorders>
              <w:bottom w:val="single" w:sz="4" w:space="0" w:color="auto"/>
            </w:tcBorders>
            <w:vAlign w:val="center"/>
          </w:tcPr>
          <w:p w14:paraId="37CFF499" w14:textId="7D06230A" w:rsidR="00EB005F" w:rsidRDefault="00EB005F" w:rsidP="00205AB7">
            <w:pPr>
              <w:spacing w:after="0"/>
              <w:jc w:val="center"/>
            </w:pPr>
            <w:r w:rsidRPr="00EB005F">
              <w:t>3.1.2</w:t>
            </w:r>
          </w:p>
        </w:tc>
      </w:tr>
      <w:tr w:rsidR="00EB005F" w14:paraId="229BDCFB" w14:textId="77777777" w:rsidTr="006E443E">
        <w:trPr>
          <w:trHeight w:val="340"/>
        </w:trPr>
        <w:tc>
          <w:tcPr>
            <w:tcW w:w="2415" w:type="pct"/>
            <w:tcBorders>
              <w:bottom w:val="single" w:sz="4" w:space="0" w:color="auto"/>
            </w:tcBorders>
            <w:vAlign w:val="center"/>
          </w:tcPr>
          <w:p w14:paraId="522F6998" w14:textId="7745C2F6" w:rsidR="00EB005F" w:rsidRDefault="00EB005F" w:rsidP="00205AB7">
            <w:pPr>
              <w:spacing w:after="0"/>
              <w:jc w:val="center"/>
            </w:pPr>
            <w:r>
              <w:t xml:space="preserve">5.7 - </w:t>
            </w:r>
            <w:r w:rsidRPr="00EB005F">
              <w:t>Personne nommément désignée</w:t>
            </w:r>
          </w:p>
        </w:tc>
        <w:tc>
          <w:tcPr>
            <w:tcW w:w="2585" w:type="pct"/>
            <w:tcBorders>
              <w:bottom w:val="single" w:sz="4" w:space="0" w:color="auto"/>
            </w:tcBorders>
            <w:vAlign w:val="center"/>
          </w:tcPr>
          <w:p w14:paraId="7FF2D9D6" w14:textId="224C5AB3" w:rsidR="00EB005F" w:rsidRDefault="00EB005F" w:rsidP="00205AB7">
            <w:pPr>
              <w:spacing w:after="0"/>
              <w:jc w:val="center"/>
            </w:pPr>
            <w:r w:rsidRPr="00EB005F">
              <w:t>3.4.3</w:t>
            </w:r>
          </w:p>
        </w:tc>
      </w:tr>
      <w:tr w:rsidR="00DC175A" w14:paraId="7DEAB12B" w14:textId="77777777" w:rsidTr="00EB005F">
        <w:trPr>
          <w:trHeight w:val="340"/>
        </w:trPr>
        <w:tc>
          <w:tcPr>
            <w:tcW w:w="2415" w:type="pct"/>
            <w:vAlign w:val="center"/>
          </w:tcPr>
          <w:p w14:paraId="0796DFDC" w14:textId="0B773555" w:rsidR="00DC175A" w:rsidRPr="006C4FC7" w:rsidRDefault="004C7E79" w:rsidP="00205AB7">
            <w:pPr>
              <w:spacing w:after="0"/>
              <w:jc w:val="center"/>
            </w:pPr>
            <w:r>
              <w:t>1</w:t>
            </w:r>
            <w:r w:rsidR="00205AB7">
              <w:t>0</w:t>
            </w:r>
            <w:r w:rsidR="00EB005F">
              <w:t>.1</w:t>
            </w:r>
            <w:r w:rsidR="00A92C06" w:rsidRPr="006C4FC7">
              <w:t xml:space="preserve"> </w:t>
            </w:r>
            <w:r>
              <w:t xml:space="preserve">- </w:t>
            </w:r>
            <w:r w:rsidR="00A92C06" w:rsidRPr="006C4FC7">
              <w:t>Pénalités</w:t>
            </w:r>
            <w:r w:rsidR="00EB005F">
              <w:t xml:space="preserve"> </w:t>
            </w:r>
            <w:r w:rsidR="00EB005F" w:rsidRPr="00EB005F">
              <w:t>de retard</w:t>
            </w:r>
          </w:p>
        </w:tc>
        <w:tc>
          <w:tcPr>
            <w:tcW w:w="2585" w:type="pct"/>
            <w:vAlign w:val="center"/>
          </w:tcPr>
          <w:p w14:paraId="48F1C317" w14:textId="09C3CD62" w:rsidR="00DC175A" w:rsidRDefault="001A6174" w:rsidP="00205AB7">
            <w:pPr>
              <w:spacing w:after="0"/>
              <w:jc w:val="center"/>
            </w:pPr>
            <w:r>
              <w:t>14</w:t>
            </w:r>
            <w:r w:rsidR="00EB005F">
              <w:t>.1</w:t>
            </w:r>
            <w:r>
              <w:t xml:space="preserve"> </w:t>
            </w:r>
          </w:p>
          <w:p w14:paraId="00A6E428" w14:textId="77777777" w:rsidR="00EB005F" w:rsidRDefault="00EB005F" w:rsidP="00205AB7">
            <w:pPr>
              <w:spacing w:after="0"/>
              <w:jc w:val="center"/>
            </w:pPr>
            <w:r w:rsidRPr="00EB005F">
              <w:t>14.2</w:t>
            </w:r>
          </w:p>
          <w:p w14:paraId="4216C0AE" w14:textId="29B78646" w:rsidR="00EB005F" w:rsidRPr="006C4FC7" w:rsidRDefault="00EB005F" w:rsidP="00205AB7">
            <w:pPr>
              <w:spacing w:after="0"/>
              <w:jc w:val="center"/>
            </w:pPr>
            <w:r w:rsidRPr="00EB005F">
              <w:t>14.3</w:t>
            </w:r>
          </w:p>
        </w:tc>
      </w:tr>
      <w:tr w:rsidR="00EB005F" w14:paraId="3947AF24" w14:textId="77777777" w:rsidTr="007224CE">
        <w:trPr>
          <w:trHeight w:val="340"/>
        </w:trPr>
        <w:tc>
          <w:tcPr>
            <w:tcW w:w="2415" w:type="pct"/>
            <w:vAlign w:val="center"/>
          </w:tcPr>
          <w:p w14:paraId="58697B7D" w14:textId="0AF3A26A" w:rsidR="00EB005F" w:rsidRDefault="00EB005F" w:rsidP="00EB005F">
            <w:pPr>
              <w:spacing w:after="0"/>
              <w:jc w:val="center"/>
            </w:pPr>
            <w:r>
              <w:t xml:space="preserve">10.2 - </w:t>
            </w:r>
            <w:r w:rsidRPr="00EB005F">
              <w:t>Pénalités pour non-respect de l’équipe dédiée</w:t>
            </w:r>
          </w:p>
        </w:tc>
        <w:tc>
          <w:tcPr>
            <w:tcW w:w="2585" w:type="pct"/>
            <w:vAlign w:val="center"/>
          </w:tcPr>
          <w:p w14:paraId="1CBE24E9" w14:textId="4A554357" w:rsidR="00EB005F" w:rsidRDefault="00EB005F" w:rsidP="00EB005F">
            <w:pPr>
              <w:spacing w:after="0"/>
              <w:jc w:val="center"/>
            </w:pPr>
            <w:r>
              <w:t>14.2</w:t>
            </w:r>
          </w:p>
          <w:p w14:paraId="61B35EC6" w14:textId="459AC946" w:rsidR="00EB005F" w:rsidRDefault="00EB005F" w:rsidP="00EB005F">
            <w:pPr>
              <w:spacing w:after="0"/>
              <w:jc w:val="center"/>
            </w:pPr>
            <w:r>
              <w:t>14.3</w:t>
            </w:r>
          </w:p>
        </w:tc>
      </w:tr>
      <w:tr w:rsidR="007224CE" w14:paraId="29887465" w14:textId="77777777" w:rsidTr="006E443E">
        <w:trPr>
          <w:trHeight w:val="340"/>
        </w:trPr>
        <w:tc>
          <w:tcPr>
            <w:tcW w:w="2415" w:type="pct"/>
            <w:tcBorders>
              <w:bottom w:val="single" w:sz="4" w:space="0" w:color="auto"/>
            </w:tcBorders>
            <w:vAlign w:val="center"/>
          </w:tcPr>
          <w:p w14:paraId="1F872457" w14:textId="6DAD440F" w:rsidR="007224CE" w:rsidRDefault="007224CE" w:rsidP="00EB005F">
            <w:pPr>
              <w:spacing w:after="0"/>
              <w:jc w:val="center"/>
            </w:pPr>
            <w:r w:rsidRPr="007224CE">
              <w:t>10.4</w:t>
            </w:r>
            <w:r w:rsidRPr="007224CE">
              <w:tab/>
              <w:t>Pénalités en cas de retard dans la communication du BEGES</w:t>
            </w:r>
          </w:p>
        </w:tc>
        <w:tc>
          <w:tcPr>
            <w:tcW w:w="2585" w:type="pct"/>
            <w:tcBorders>
              <w:bottom w:val="single" w:sz="4" w:space="0" w:color="auto"/>
            </w:tcBorders>
            <w:vAlign w:val="center"/>
          </w:tcPr>
          <w:p w14:paraId="1E89DA4D" w14:textId="76B941FC" w:rsidR="007224CE" w:rsidRDefault="007224CE" w:rsidP="00EB005F">
            <w:pPr>
              <w:spacing w:after="0"/>
              <w:jc w:val="center"/>
            </w:pPr>
            <w:r>
              <w:t>14.1</w:t>
            </w:r>
          </w:p>
        </w:tc>
      </w:tr>
    </w:tbl>
    <w:p w14:paraId="78D14AF9" w14:textId="24B6F7AB" w:rsidR="004D72DA" w:rsidRPr="004D72DA" w:rsidRDefault="004D72DA" w:rsidP="00FF6C84"/>
    <w:sectPr w:rsidR="004D72DA" w:rsidRPr="004D72DA" w:rsidSect="002D0674">
      <w:headerReference w:type="even" r:id="rId13"/>
      <w:headerReference w:type="default" r:id="rId14"/>
      <w:footerReference w:type="even" r:id="rId15"/>
      <w:footerReference w:type="default" r:id="rId16"/>
      <w:headerReference w:type="first" r:id="rId17"/>
      <w:footerReference w:type="first" r:id="rId18"/>
      <w:pgSz w:w="11907" w:h="16840" w:code="9"/>
      <w:pgMar w:top="1417" w:right="1417" w:bottom="1417" w:left="1417" w:header="680" w:footer="794"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17083" w14:textId="77777777" w:rsidR="00705FF3" w:rsidRDefault="00705FF3">
      <w:r>
        <w:separator/>
      </w:r>
    </w:p>
  </w:endnote>
  <w:endnote w:type="continuationSeparator" w:id="0">
    <w:p w14:paraId="1E37DAEF" w14:textId="77777777" w:rsidR="00705FF3" w:rsidRDefault="00705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altName w:val="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2639472"/>
      <w:docPartObj>
        <w:docPartGallery w:val="Page Numbers (Bottom of Page)"/>
        <w:docPartUnique/>
      </w:docPartObj>
    </w:sdtPr>
    <w:sdtEndPr/>
    <w:sdtContent>
      <w:sdt>
        <w:sdtPr>
          <w:id w:val="-1769616900"/>
          <w:docPartObj>
            <w:docPartGallery w:val="Page Numbers (Top of Page)"/>
            <w:docPartUnique/>
          </w:docPartObj>
        </w:sdtPr>
        <w:sdtEndPr/>
        <w:sdt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510"/>
            </w:tblGrid>
            <w:tr w:rsidR="00A376F4" w14:paraId="1A669E24" w14:textId="77777777" w:rsidTr="004A23EB">
              <w:tc>
                <w:tcPr>
                  <w:tcW w:w="4563" w:type="dxa"/>
                  <w:shd w:val="clear" w:color="auto" w:fill="D9D9D9" w:themeFill="background1" w:themeFillShade="D9"/>
                </w:tcPr>
                <w:p w14:paraId="5CF9E912" w14:textId="4983F11A" w:rsidR="00A376F4" w:rsidRPr="009C70C1" w:rsidRDefault="00A376F4" w:rsidP="004A23EB">
                  <w:pPr>
                    <w:pStyle w:val="Pieddepage"/>
                    <w:spacing w:after="0"/>
                    <w:jc w:val="left"/>
                    <w:rPr>
                      <w:b/>
                    </w:rPr>
                  </w:pPr>
                  <w:r w:rsidRPr="005F0D06">
                    <w:rPr>
                      <w:b/>
                    </w:rPr>
                    <w:t>CC</w:t>
                  </w:r>
                  <w:r w:rsidR="005C3281">
                    <w:rPr>
                      <w:b/>
                    </w:rPr>
                    <w:t>A</w:t>
                  </w:r>
                  <w:r w:rsidRPr="005F0D06">
                    <w:rPr>
                      <w:b/>
                    </w:rPr>
                    <w:t>P n°</w:t>
                  </w:r>
                  <w:r w:rsidR="005C3281">
                    <w:rPr>
                      <w:b/>
                    </w:rPr>
                    <w:t>202</w:t>
                  </w:r>
                  <w:r w:rsidR="000E04C6">
                    <w:rPr>
                      <w:b/>
                    </w:rPr>
                    <w:t>6005</w:t>
                  </w:r>
                </w:p>
              </w:tc>
              <w:tc>
                <w:tcPr>
                  <w:tcW w:w="4510" w:type="dxa"/>
                  <w:shd w:val="clear" w:color="auto" w:fill="D9D9D9" w:themeFill="background1" w:themeFillShade="D9"/>
                </w:tcPr>
                <w:p w14:paraId="7A6F4994" w14:textId="77777777" w:rsidR="00A376F4" w:rsidRDefault="00A376F4" w:rsidP="004A23EB">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4</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31</w:t>
                  </w:r>
                  <w:r>
                    <w:rPr>
                      <w:b/>
                      <w:bCs/>
                      <w:sz w:val="24"/>
                    </w:rPr>
                    <w:fldChar w:fldCharType="end"/>
                  </w:r>
                </w:p>
              </w:tc>
            </w:tr>
          </w:tbl>
          <w:p w14:paraId="6609D5E5" w14:textId="7372DD77" w:rsidR="00A376F4" w:rsidRPr="008321B3" w:rsidRDefault="00CA18B9" w:rsidP="008321B3">
            <w:pPr>
              <w:pStyle w:val="Pieddepage"/>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510"/>
    </w:tblGrid>
    <w:tr w:rsidR="00A376F4" w14:paraId="5C57DC04" w14:textId="77777777" w:rsidTr="004A23EB">
      <w:tc>
        <w:tcPr>
          <w:tcW w:w="4563" w:type="dxa"/>
          <w:shd w:val="clear" w:color="auto" w:fill="D9D9D9" w:themeFill="background1" w:themeFillShade="D9"/>
        </w:tcPr>
        <w:p w14:paraId="310F8AE2" w14:textId="419F2456" w:rsidR="00A376F4" w:rsidRPr="009C70C1" w:rsidRDefault="00A376F4" w:rsidP="004A23EB">
          <w:pPr>
            <w:pStyle w:val="Pieddepage"/>
            <w:spacing w:after="0"/>
            <w:jc w:val="left"/>
            <w:rPr>
              <w:b/>
            </w:rPr>
          </w:pPr>
          <w:r w:rsidRPr="005F0D06">
            <w:rPr>
              <w:b/>
            </w:rPr>
            <w:t>CC</w:t>
          </w:r>
          <w:r w:rsidR="00FF6C84">
            <w:rPr>
              <w:b/>
            </w:rPr>
            <w:t>A</w:t>
          </w:r>
          <w:r w:rsidRPr="005F0D06">
            <w:rPr>
              <w:b/>
            </w:rPr>
            <w:t>P n°</w:t>
          </w:r>
          <w:r w:rsidR="000E04C6">
            <w:rPr>
              <w:b/>
            </w:rPr>
            <w:t>2026005</w:t>
          </w:r>
        </w:p>
      </w:tc>
      <w:tc>
        <w:tcPr>
          <w:tcW w:w="4510" w:type="dxa"/>
          <w:shd w:val="clear" w:color="auto" w:fill="D9D9D9" w:themeFill="background1" w:themeFillShade="D9"/>
        </w:tcPr>
        <w:p w14:paraId="3C4FCC28" w14:textId="77777777" w:rsidR="00A376F4" w:rsidRDefault="00A376F4" w:rsidP="004A23EB">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4</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31</w:t>
          </w:r>
          <w:r>
            <w:rPr>
              <w:b/>
              <w:bCs/>
              <w:sz w:val="24"/>
            </w:rPr>
            <w:fldChar w:fldCharType="end"/>
          </w:r>
        </w:p>
      </w:tc>
    </w:tr>
  </w:tbl>
  <w:p w14:paraId="4B3D6A85" w14:textId="41CB5884" w:rsidR="00A376F4" w:rsidRDefault="00A376F4" w:rsidP="004A23E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57BEC" w14:textId="77777777" w:rsidR="00A376F4" w:rsidRDefault="00A376F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510"/>
    </w:tblGrid>
    <w:tr w:rsidR="00A376F4" w14:paraId="09E272E5" w14:textId="77777777" w:rsidTr="004A23EB">
      <w:tc>
        <w:tcPr>
          <w:tcW w:w="4563" w:type="dxa"/>
          <w:shd w:val="clear" w:color="auto" w:fill="D9D9D9" w:themeFill="background1" w:themeFillShade="D9"/>
        </w:tcPr>
        <w:p w14:paraId="2ED9BB76" w14:textId="248629BC" w:rsidR="00A376F4" w:rsidRPr="009C70C1" w:rsidRDefault="00A376F4" w:rsidP="004A23EB">
          <w:pPr>
            <w:pStyle w:val="Pieddepage"/>
            <w:spacing w:after="0"/>
            <w:jc w:val="left"/>
            <w:rPr>
              <w:b/>
            </w:rPr>
          </w:pPr>
          <w:r w:rsidRPr="005F0D06">
            <w:rPr>
              <w:b/>
            </w:rPr>
            <w:t>CC</w:t>
          </w:r>
          <w:r w:rsidR="00FF6C84">
            <w:rPr>
              <w:b/>
            </w:rPr>
            <w:t>A</w:t>
          </w:r>
          <w:r w:rsidRPr="005F0D06">
            <w:rPr>
              <w:b/>
            </w:rPr>
            <w:t>P n°</w:t>
          </w:r>
          <w:r w:rsidR="000E04C6">
            <w:rPr>
              <w:b/>
            </w:rPr>
            <w:t>2026005</w:t>
          </w:r>
        </w:p>
      </w:tc>
      <w:tc>
        <w:tcPr>
          <w:tcW w:w="4510" w:type="dxa"/>
          <w:shd w:val="clear" w:color="auto" w:fill="D9D9D9" w:themeFill="background1" w:themeFillShade="D9"/>
        </w:tcPr>
        <w:p w14:paraId="71F973F5" w14:textId="77777777" w:rsidR="00A376F4" w:rsidRDefault="00A376F4" w:rsidP="004A23EB">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4</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31</w:t>
          </w:r>
          <w:r>
            <w:rPr>
              <w:b/>
              <w:bCs/>
              <w:sz w:val="24"/>
            </w:rPr>
            <w:fldChar w:fldCharType="end"/>
          </w:r>
        </w:p>
      </w:tc>
    </w:tr>
  </w:tbl>
  <w:p w14:paraId="1126534F" w14:textId="4F5E7C74" w:rsidR="00A376F4" w:rsidRPr="00E42729" w:rsidRDefault="00A376F4" w:rsidP="00E42729">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8723260"/>
      <w:docPartObj>
        <w:docPartGallery w:val="Page Numbers (Bottom of Page)"/>
        <w:docPartUnique/>
      </w:docPartObj>
    </w:sdtPr>
    <w:sdtEndPr/>
    <w:sdt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510"/>
        </w:tblGrid>
        <w:tr w:rsidR="00A376F4" w14:paraId="338750AF" w14:textId="77777777" w:rsidTr="009C70C1">
          <w:tc>
            <w:tcPr>
              <w:tcW w:w="4563" w:type="dxa"/>
              <w:shd w:val="clear" w:color="auto" w:fill="D9D9D9" w:themeFill="background1" w:themeFillShade="D9"/>
            </w:tcPr>
            <w:p w14:paraId="4E080514" w14:textId="5D98907E" w:rsidR="00A376F4" w:rsidRPr="009C70C1" w:rsidRDefault="00A376F4" w:rsidP="009C70C1">
              <w:pPr>
                <w:pStyle w:val="Pieddepage"/>
                <w:spacing w:after="0"/>
                <w:jc w:val="left"/>
                <w:rPr>
                  <w:b/>
                </w:rPr>
              </w:pPr>
              <w:r w:rsidRPr="005F0D06">
                <w:rPr>
                  <w:b/>
                </w:rPr>
                <w:t>CC</w:t>
              </w:r>
              <w:r w:rsidR="00FF6C84">
                <w:rPr>
                  <w:b/>
                </w:rPr>
                <w:t>A</w:t>
              </w:r>
              <w:r w:rsidRPr="005F0D06">
                <w:rPr>
                  <w:b/>
                </w:rPr>
                <w:t>P n°</w:t>
              </w:r>
              <w:r w:rsidR="000E04C6">
                <w:rPr>
                  <w:b/>
                </w:rPr>
                <w:t>2026005</w:t>
              </w:r>
            </w:p>
          </w:tc>
          <w:tc>
            <w:tcPr>
              <w:tcW w:w="4510" w:type="dxa"/>
              <w:shd w:val="clear" w:color="auto" w:fill="D9D9D9" w:themeFill="background1" w:themeFillShade="D9"/>
            </w:tcPr>
            <w:p w14:paraId="24B7A024" w14:textId="4B1206A6" w:rsidR="00A376F4" w:rsidRDefault="00A376F4" w:rsidP="009C70C1">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4</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31</w:t>
              </w:r>
              <w:r>
                <w:rPr>
                  <w:b/>
                  <w:bCs/>
                  <w:sz w:val="24"/>
                </w:rPr>
                <w:fldChar w:fldCharType="end"/>
              </w:r>
            </w:p>
          </w:tc>
        </w:tr>
      </w:tbl>
      <w:p w14:paraId="06A4FD18" w14:textId="4126D19B" w:rsidR="00A376F4" w:rsidRPr="009C70C1" w:rsidRDefault="00CA18B9" w:rsidP="009C70C1">
        <w:pPr>
          <w:pStyle w:val="Pieddepage"/>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E2838" w14:textId="77777777" w:rsidR="00705FF3" w:rsidRDefault="00705FF3">
      <w:r>
        <w:separator/>
      </w:r>
    </w:p>
  </w:footnote>
  <w:footnote w:type="continuationSeparator" w:id="0">
    <w:p w14:paraId="6A8B21D2" w14:textId="77777777" w:rsidR="00705FF3" w:rsidRDefault="00705FF3">
      <w:r>
        <w:continuationSeparator/>
      </w:r>
    </w:p>
  </w:footnote>
  <w:footnote w:id="1">
    <w:p w14:paraId="068181BC" w14:textId="0669F635" w:rsidR="00554C97" w:rsidRDefault="00554C97">
      <w:pPr>
        <w:pStyle w:val="Notedebasdepage"/>
      </w:pPr>
      <w:r>
        <w:rPr>
          <w:rStyle w:val="Appelnotedebasdep"/>
        </w:rPr>
        <w:footnoteRef/>
      </w:r>
      <w:r>
        <w:t xml:space="preserve"> </w:t>
      </w:r>
      <w:r w:rsidRPr="00554C97">
        <w:t>Les personnes morales de droit privé employant plus de cinq cents personnes et, dans les régions et départements d'outre-mer, les personnes morales de droit privé employant plus de deux cent cinquante personnes.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2C83" w14:textId="3DDE234F" w:rsidR="00A376F4" w:rsidRDefault="00A376F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FB74E" w14:textId="0DFD70FC" w:rsidR="00A376F4" w:rsidRDefault="00A376F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56F20" w14:textId="40B01338" w:rsidR="00A376F4" w:rsidRDefault="00A376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9" w15:restartNumberingAfterBreak="0">
    <w:nsid w:val="149432AE"/>
    <w:multiLevelType w:val="hybridMultilevel"/>
    <w:tmpl w:val="F858CE96"/>
    <w:lvl w:ilvl="0" w:tplc="6FFEF86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ED3EE6"/>
    <w:multiLevelType w:val="hybridMultilevel"/>
    <w:tmpl w:val="1CFEA044"/>
    <w:lvl w:ilvl="0" w:tplc="DC9ABE9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1B5C4B"/>
    <w:multiLevelType w:val="multilevel"/>
    <w:tmpl w:val="6F0A56FE"/>
    <w:lvl w:ilvl="0">
      <w:start w:val="1"/>
      <w:numFmt w:val="decimal"/>
      <w:pStyle w:val="Titre1"/>
      <w:lvlText w:val="Article %1 - "/>
      <w:lvlJc w:val="left"/>
      <w:pPr>
        <w:tabs>
          <w:tab w:val="num" w:pos="567"/>
        </w:tabs>
        <w:ind w:left="0"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993"/>
        </w:tabs>
        <w:ind w:left="426" w:firstLine="0"/>
      </w:pPr>
      <w:rPr>
        <w:rFonts w:hint="default"/>
      </w:rPr>
    </w:lvl>
    <w:lvl w:ilvl="2">
      <w:start w:val="1"/>
      <w:numFmt w:val="decimal"/>
      <w:pStyle w:val="Titre3"/>
      <w:lvlText w:val="%1.%2.%3"/>
      <w:lvlJc w:val="left"/>
      <w:pPr>
        <w:tabs>
          <w:tab w:val="num" w:pos="1277"/>
        </w:tabs>
        <w:ind w:left="71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3" w15:restartNumberingAfterBreak="0">
    <w:nsid w:val="3D7573CA"/>
    <w:multiLevelType w:val="hybridMultilevel"/>
    <w:tmpl w:val="AAA2AA78"/>
    <w:lvl w:ilvl="0" w:tplc="910868F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2D27B2"/>
    <w:multiLevelType w:val="hybridMultilevel"/>
    <w:tmpl w:val="449C8DDA"/>
    <w:lvl w:ilvl="0" w:tplc="29C01EA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D83EFA"/>
    <w:multiLevelType w:val="hybridMultilevel"/>
    <w:tmpl w:val="EE5E1B06"/>
    <w:lvl w:ilvl="0" w:tplc="D100858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1E19CF"/>
    <w:multiLevelType w:val="hybridMultilevel"/>
    <w:tmpl w:val="91282F22"/>
    <w:lvl w:ilvl="0" w:tplc="910868F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B01805"/>
    <w:multiLevelType w:val="hybridMultilevel"/>
    <w:tmpl w:val="35E616CA"/>
    <w:lvl w:ilvl="0" w:tplc="3112DA2A">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561549573">
    <w:abstractNumId w:val="0"/>
  </w:num>
  <w:num w:numId="2" w16cid:durableId="1622805366">
    <w:abstractNumId w:val="11"/>
  </w:num>
  <w:num w:numId="3" w16cid:durableId="652878803">
    <w:abstractNumId w:val="20"/>
  </w:num>
  <w:num w:numId="4" w16cid:durableId="663245220">
    <w:abstractNumId w:val="12"/>
  </w:num>
  <w:num w:numId="5" w16cid:durableId="930118677">
    <w:abstractNumId w:val="8"/>
  </w:num>
  <w:num w:numId="6" w16cid:durableId="873923942">
    <w:abstractNumId w:val="9"/>
  </w:num>
  <w:num w:numId="7" w16cid:durableId="1939823179">
    <w:abstractNumId w:val="18"/>
  </w:num>
  <w:num w:numId="8" w16cid:durableId="2034450817">
    <w:abstractNumId w:val="14"/>
  </w:num>
  <w:num w:numId="9" w16cid:durableId="611982948">
    <w:abstractNumId w:val="19"/>
  </w:num>
  <w:num w:numId="10" w16cid:durableId="1791052503">
    <w:abstractNumId w:val="15"/>
  </w:num>
  <w:num w:numId="11" w16cid:durableId="82650767">
    <w:abstractNumId w:val="17"/>
  </w:num>
  <w:num w:numId="12" w16cid:durableId="796994076">
    <w:abstractNumId w:val="13"/>
  </w:num>
  <w:num w:numId="13" w16cid:durableId="1174103075">
    <w:abstractNumId w:val="10"/>
  </w:num>
  <w:num w:numId="14" w16cid:durableId="7135836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7003683">
    <w:abstractNumId w:val="16"/>
  </w:num>
  <w:num w:numId="16" w16cid:durableId="8624009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483656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319578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21D"/>
    <w:rsid w:val="00000694"/>
    <w:rsid w:val="00001E5E"/>
    <w:rsid w:val="00005247"/>
    <w:rsid w:val="00006583"/>
    <w:rsid w:val="000124A1"/>
    <w:rsid w:val="000149B9"/>
    <w:rsid w:val="000209F9"/>
    <w:rsid w:val="00021ECD"/>
    <w:rsid w:val="000233EB"/>
    <w:rsid w:val="00024A8C"/>
    <w:rsid w:val="000250B3"/>
    <w:rsid w:val="0002515B"/>
    <w:rsid w:val="00025F88"/>
    <w:rsid w:val="00027B57"/>
    <w:rsid w:val="00027B72"/>
    <w:rsid w:val="000300BC"/>
    <w:rsid w:val="00033052"/>
    <w:rsid w:val="00033BA2"/>
    <w:rsid w:val="00033EAF"/>
    <w:rsid w:val="0003441E"/>
    <w:rsid w:val="00037B7C"/>
    <w:rsid w:val="00040DDB"/>
    <w:rsid w:val="00041781"/>
    <w:rsid w:val="00043A9B"/>
    <w:rsid w:val="0004486A"/>
    <w:rsid w:val="0004693B"/>
    <w:rsid w:val="00046CE4"/>
    <w:rsid w:val="000470B5"/>
    <w:rsid w:val="00047595"/>
    <w:rsid w:val="00047A0B"/>
    <w:rsid w:val="000504D4"/>
    <w:rsid w:val="000563DB"/>
    <w:rsid w:val="00061515"/>
    <w:rsid w:val="00061C3E"/>
    <w:rsid w:val="000630B6"/>
    <w:rsid w:val="00063D2F"/>
    <w:rsid w:val="0006518C"/>
    <w:rsid w:val="00065EAA"/>
    <w:rsid w:val="000665A6"/>
    <w:rsid w:val="00066698"/>
    <w:rsid w:val="00066747"/>
    <w:rsid w:val="0006702F"/>
    <w:rsid w:val="00067332"/>
    <w:rsid w:val="0007025A"/>
    <w:rsid w:val="000710E2"/>
    <w:rsid w:val="00072480"/>
    <w:rsid w:val="00073793"/>
    <w:rsid w:val="000748DD"/>
    <w:rsid w:val="00076B9E"/>
    <w:rsid w:val="00080A0E"/>
    <w:rsid w:val="000815E4"/>
    <w:rsid w:val="00081DF4"/>
    <w:rsid w:val="0008225A"/>
    <w:rsid w:val="00083778"/>
    <w:rsid w:val="00084B59"/>
    <w:rsid w:val="000863CC"/>
    <w:rsid w:val="00090CFA"/>
    <w:rsid w:val="0009146E"/>
    <w:rsid w:val="00094458"/>
    <w:rsid w:val="000962C9"/>
    <w:rsid w:val="000A05D0"/>
    <w:rsid w:val="000A143C"/>
    <w:rsid w:val="000A2969"/>
    <w:rsid w:val="000A2A07"/>
    <w:rsid w:val="000A33A3"/>
    <w:rsid w:val="000A4ED4"/>
    <w:rsid w:val="000A69A4"/>
    <w:rsid w:val="000A7E72"/>
    <w:rsid w:val="000B0788"/>
    <w:rsid w:val="000B153C"/>
    <w:rsid w:val="000B20ED"/>
    <w:rsid w:val="000B2389"/>
    <w:rsid w:val="000B2646"/>
    <w:rsid w:val="000B31A1"/>
    <w:rsid w:val="000B3363"/>
    <w:rsid w:val="000B64C8"/>
    <w:rsid w:val="000B6E6E"/>
    <w:rsid w:val="000B7563"/>
    <w:rsid w:val="000C1750"/>
    <w:rsid w:val="000C2A2A"/>
    <w:rsid w:val="000C4506"/>
    <w:rsid w:val="000C6444"/>
    <w:rsid w:val="000C6986"/>
    <w:rsid w:val="000C7F80"/>
    <w:rsid w:val="000D2961"/>
    <w:rsid w:val="000D32F1"/>
    <w:rsid w:val="000D531C"/>
    <w:rsid w:val="000D579B"/>
    <w:rsid w:val="000D7C65"/>
    <w:rsid w:val="000E04C6"/>
    <w:rsid w:val="000E128A"/>
    <w:rsid w:val="000E203E"/>
    <w:rsid w:val="000E32E6"/>
    <w:rsid w:val="000E40B6"/>
    <w:rsid w:val="000E46AD"/>
    <w:rsid w:val="000F30C3"/>
    <w:rsid w:val="000F4526"/>
    <w:rsid w:val="000F6DD3"/>
    <w:rsid w:val="00100244"/>
    <w:rsid w:val="00100E7B"/>
    <w:rsid w:val="001028A6"/>
    <w:rsid w:val="0010294F"/>
    <w:rsid w:val="00104E06"/>
    <w:rsid w:val="00105868"/>
    <w:rsid w:val="00106ACF"/>
    <w:rsid w:val="001101A3"/>
    <w:rsid w:val="001104AC"/>
    <w:rsid w:val="0011151A"/>
    <w:rsid w:val="00111946"/>
    <w:rsid w:val="00111A72"/>
    <w:rsid w:val="00111BE5"/>
    <w:rsid w:val="00112280"/>
    <w:rsid w:val="00112583"/>
    <w:rsid w:val="00113025"/>
    <w:rsid w:val="00113BA4"/>
    <w:rsid w:val="00120D58"/>
    <w:rsid w:val="001217F9"/>
    <w:rsid w:val="00121A48"/>
    <w:rsid w:val="0012237E"/>
    <w:rsid w:val="001223D9"/>
    <w:rsid w:val="00124F46"/>
    <w:rsid w:val="00126484"/>
    <w:rsid w:val="00126612"/>
    <w:rsid w:val="0013017F"/>
    <w:rsid w:val="00130231"/>
    <w:rsid w:val="00132686"/>
    <w:rsid w:val="00132DD1"/>
    <w:rsid w:val="00133838"/>
    <w:rsid w:val="00134490"/>
    <w:rsid w:val="00134828"/>
    <w:rsid w:val="001349D4"/>
    <w:rsid w:val="0013507D"/>
    <w:rsid w:val="00137B8E"/>
    <w:rsid w:val="00137F21"/>
    <w:rsid w:val="00141C7B"/>
    <w:rsid w:val="00141D52"/>
    <w:rsid w:val="00143C4E"/>
    <w:rsid w:val="00143D8F"/>
    <w:rsid w:val="0014542A"/>
    <w:rsid w:val="00145BB2"/>
    <w:rsid w:val="00146290"/>
    <w:rsid w:val="00146917"/>
    <w:rsid w:val="00147574"/>
    <w:rsid w:val="00147947"/>
    <w:rsid w:val="001532B1"/>
    <w:rsid w:val="0015397C"/>
    <w:rsid w:val="00153B73"/>
    <w:rsid w:val="001541B6"/>
    <w:rsid w:val="0015453B"/>
    <w:rsid w:val="001557B4"/>
    <w:rsid w:val="00155D74"/>
    <w:rsid w:val="00156E0B"/>
    <w:rsid w:val="0015779D"/>
    <w:rsid w:val="00157D8B"/>
    <w:rsid w:val="00157F95"/>
    <w:rsid w:val="0016160D"/>
    <w:rsid w:val="001632C8"/>
    <w:rsid w:val="00164EA8"/>
    <w:rsid w:val="0016544C"/>
    <w:rsid w:val="0016615C"/>
    <w:rsid w:val="00166504"/>
    <w:rsid w:val="00170F28"/>
    <w:rsid w:val="001718F7"/>
    <w:rsid w:val="00171F53"/>
    <w:rsid w:val="001724B6"/>
    <w:rsid w:val="001726CB"/>
    <w:rsid w:val="00174504"/>
    <w:rsid w:val="001747CE"/>
    <w:rsid w:val="001749F0"/>
    <w:rsid w:val="00175366"/>
    <w:rsid w:val="00175A82"/>
    <w:rsid w:val="00176DF9"/>
    <w:rsid w:val="0018450C"/>
    <w:rsid w:val="00185201"/>
    <w:rsid w:val="001860AF"/>
    <w:rsid w:val="00186CDD"/>
    <w:rsid w:val="001876D3"/>
    <w:rsid w:val="001906C4"/>
    <w:rsid w:val="00190970"/>
    <w:rsid w:val="00190DA1"/>
    <w:rsid w:val="00191453"/>
    <w:rsid w:val="00192358"/>
    <w:rsid w:val="00193084"/>
    <w:rsid w:val="001930C6"/>
    <w:rsid w:val="001941AD"/>
    <w:rsid w:val="00194433"/>
    <w:rsid w:val="001A00F7"/>
    <w:rsid w:val="001A0233"/>
    <w:rsid w:val="001A0562"/>
    <w:rsid w:val="001A09C4"/>
    <w:rsid w:val="001A276F"/>
    <w:rsid w:val="001A2FEE"/>
    <w:rsid w:val="001A3A84"/>
    <w:rsid w:val="001A4F2D"/>
    <w:rsid w:val="001A6174"/>
    <w:rsid w:val="001B19E4"/>
    <w:rsid w:val="001B3800"/>
    <w:rsid w:val="001B556C"/>
    <w:rsid w:val="001C066B"/>
    <w:rsid w:val="001C1C34"/>
    <w:rsid w:val="001C245E"/>
    <w:rsid w:val="001C2982"/>
    <w:rsid w:val="001C2A8F"/>
    <w:rsid w:val="001C2C8A"/>
    <w:rsid w:val="001C2D54"/>
    <w:rsid w:val="001C3229"/>
    <w:rsid w:val="001C3EA1"/>
    <w:rsid w:val="001C7767"/>
    <w:rsid w:val="001D47A0"/>
    <w:rsid w:val="001D50C9"/>
    <w:rsid w:val="001D6527"/>
    <w:rsid w:val="001E3F9C"/>
    <w:rsid w:val="001E4A19"/>
    <w:rsid w:val="001E5724"/>
    <w:rsid w:val="001E6977"/>
    <w:rsid w:val="001F37D3"/>
    <w:rsid w:val="00201875"/>
    <w:rsid w:val="0020419B"/>
    <w:rsid w:val="002042FD"/>
    <w:rsid w:val="002056BF"/>
    <w:rsid w:val="00205AB7"/>
    <w:rsid w:val="00210E00"/>
    <w:rsid w:val="0021300C"/>
    <w:rsid w:val="00214538"/>
    <w:rsid w:val="00214E36"/>
    <w:rsid w:val="00215E92"/>
    <w:rsid w:val="00216788"/>
    <w:rsid w:val="0021797E"/>
    <w:rsid w:val="002203E9"/>
    <w:rsid w:val="002219ED"/>
    <w:rsid w:val="00222357"/>
    <w:rsid w:val="002228DA"/>
    <w:rsid w:val="00223363"/>
    <w:rsid w:val="002235AB"/>
    <w:rsid w:val="00224E8F"/>
    <w:rsid w:val="0023153C"/>
    <w:rsid w:val="0023259F"/>
    <w:rsid w:val="00233D75"/>
    <w:rsid w:val="002354B2"/>
    <w:rsid w:val="002360FE"/>
    <w:rsid w:val="00236424"/>
    <w:rsid w:val="002364B3"/>
    <w:rsid w:val="0023748B"/>
    <w:rsid w:val="0024021A"/>
    <w:rsid w:val="0024096D"/>
    <w:rsid w:val="00240EAC"/>
    <w:rsid w:val="002434A6"/>
    <w:rsid w:val="00243813"/>
    <w:rsid w:val="002465C9"/>
    <w:rsid w:val="00250E4C"/>
    <w:rsid w:val="00252F14"/>
    <w:rsid w:val="002542AB"/>
    <w:rsid w:val="00254FC8"/>
    <w:rsid w:val="00255080"/>
    <w:rsid w:val="00256AF3"/>
    <w:rsid w:val="00256F72"/>
    <w:rsid w:val="002570EF"/>
    <w:rsid w:val="0026278E"/>
    <w:rsid w:val="0026278F"/>
    <w:rsid w:val="00263725"/>
    <w:rsid w:val="002644D4"/>
    <w:rsid w:val="002646C5"/>
    <w:rsid w:val="00264925"/>
    <w:rsid w:val="00265C70"/>
    <w:rsid w:val="00266A63"/>
    <w:rsid w:val="00271D05"/>
    <w:rsid w:val="00272FF9"/>
    <w:rsid w:val="002737C8"/>
    <w:rsid w:val="0027391F"/>
    <w:rsid w:val="002739AC"/>
    <w:rsid w:val="00276E2C"/>
    <w:rsid w:val="00280410"/>
    <w:rsid w:val="00284F49"/>
    <w:rsid w:val="00286547"/>
    <w:rsid w:val="00286799"/>
    <w:rsid w:val="002902D0"/>
    <w:rsid w:val="00290E1D"/>
    <w:rsid w:val="00293B0E"/>
    <w:rsid w:val="00295A89"/>
    <w:rsid w:val="00296EFD"/>
    <w:rsid w:val="002A0B74"/>
    <w:rsid w:val="002A211C"/>
    <w:rsid w:val="002A23CE"/>
    <w:rsid w:val="002A3660"/>
    <w:rsid w:val="002A3BB7"/>
    <w:rsid w:val="002A59F8"/>
    <w:rsid w:val="002A5C86"/>
    <w:rsid w:val="002A6CFA"/>
    <w:rsid w:val="002B174A"/>
    <w:rsid w:val="002B3076"/>
    <w:rsid w:val="002B4CBA"/>
    <w:rsid w:val="002C0908"/>
    <w:rsid w:val="002C3EAE"/>
    <w:rsid w:val="002C55EE"/>
    <w:rsid w:val="002C6896"/>
    <w:rsid w:val="002C7332"/>
    <w:rsid w:val="002C7612"/>
    <w:rsid w:val="002C7D5E"/>
    <w:rsid w:val="002D0674"/>
    <w:rsid w:val="002D0845"/>
    <w:rsid w:val="002D0ACA"/>
    <w:rsid w:val="002D2BCD"/>
    <w:rsid w:val="002D3AA8"/>
    <w:rsid w:val="002D4932"/>
    <w:rsid w:val="002D5030"/>
    <w:rsid w:val="002D670B"/>
    <w:rsid w:val="002D753D"/>
    <w:rsid w:val="002D7CFD"/>
    <w:rsid w:val="002E0B70"/>
    <w:rsid w:val="002E0F11"/>
    <w:rsid w:val="002E101C"/>
    <w:rsid w:val="002E16FC"/>
    <w:rsid w:val="002E1C8B"/>
    <w:rsid w:val="002E1EA1"/>
    <w:rsid w:val="002E2547"/>
    <w:rsid w:val="002E6631"/>
    <w:rsid w:val="002E73AD"/>
    <w:rsid w:val="002F07E0"/>
    <w:rsid w:val="002F4D34"/>
    <w:rsid w:val="002F6198"/>
    <w:rsid w:val="002F62C1"/>
    <w:rsid w:val="002F7E35"/>
    <w:rsid w:val="00301275"/>
    <w:rsid w:val="00301480"/>
    <w:rsid w:val="003014BE"/>
    <w:rsid w:val="00302741"/>
    <w:rsid w:val="003031B7"/>
    <w:rsid w:val="00303698"/>
    <w:rsid w:val="00305757"/>
    <w:rsid w:val="00306EF3"/>
    <w:rsid w:val="00307D1A"/>
    <w:rsid w:val="0031115E"/>
    <w:rsid w:val="00311D2F"/>
    <w:rsid w:val="00311D8A"/>
    <w:rsid w:val="00311E63"/>
    <w:rsid w:val="0031214D"/>
    <w:rsid w:val="00312507"/>
    <w:rsid w:val="003130DD"/>
    <w:rsid w:val="00313C01"/>
    <w:rsid w:val="003159F2"/>
    <w:rsid w:val="003167A3"/>
    <w:rsid w:val="00320CE0"/>
    <w:rsid w:val="00320E09"/>
    <w:rsid w:val="00321326"/>
    <w:rsid w:val="00323030"/>
    <w:rsid w:val="003237E6"/>
    <w:rsid w:val="00325ACC"/>
    <w:rsid w:val="00326F61"/>
    <w:rsid w:val="00330BEC"/>
    <w:rsid w:val="00330ECE"/>
    <w:rsid w:val="00330FEF"/>
    <w:rsid w:val="003317CC"/>
    <w:rsid w:val="00332C03"/>
    <w:rsid w:val="00333F84"/>
    <w:rsid w:val="0033468D"/>
    <w:rsid w:val="00334A22"/>
    <w:rsid w:val="003358A7"/>
    <w:rsid w:val="00337018"/>
    <w:rsid w:val="003400C1"/>
    <w:rsid w:val="00340C77"/>
    <w:rsid w:val="00341279"/>
    <w:rsid w:val="003420A4"/>
    <w:rsid w:val="00343723"/>
    <w:rsid w:val="00343BC5"/>
    <w:rsid w:val="00345C50"/>
    <w:rsid w:val="00350AEE"/>
    <w:rsid w:val="00350E42"/>
    <w:rsid w:val="00351696"/>
    <w:rsid w:val="00353665"/>
    <w:rsid w:val="0035653D"/>
    <w:rsid w:val="003566BF"/>
    <w:rsid w:val="00356E9F"/>
    <w:rsid w:val="00364A9A"/>
    <w:rsid w:val="003676B5"/>
    <w:rsid w:val="0037202C"/>
    <w:rsid w:val="00372199"/>
    <w:rsid w:val="003733BA"/>
    <w:rsid w:val="00375478"/>
    <w:rsid w:val="003754C8"/>
    <w:rsid w:val="00375E0B"/>
    <w:rsid w:val="003760B2"/>
    <w:rsid w:val="00376172"/>
    <w:rsid w:val="00376885"/>
    <w:rsid w:val="003775D4"/>
    <w:rsid w:val="00377749"/>
    <w:rsid w:val="0037782F"/>
    <w:rsid w:val="00377B0D"/>
    <w:rsid w:val="00380E09"/>
    <w:rsid w:val="0038212D"/>
    <w:rsid w:val="003829B0"/>
    <w:rsid w:val="00385B0F"/>
    <w:rsid w:val="003867B8"/>
    <w:rsid w:val="00386D82"/>
    <w:rsid w:val="00387784"/>
    <w:rsid w:val="0039202C"/>
    <w:rsid w:val="00392BE0"/>
    <w:rsid w:val="00394B78"/>
    <w:rsid w:val="00395669"/>
    <w:rsid w:val="003956AD"/>
    <w:rsid w:val="00396096"/>
    <w:rsid w:val="00396B2A"/>
    <w:rsid w:val="003A14FF"/>
    <w:rsid w:val="003A1CF8"/>
    <w:rsid w:val="003A1D55"/>
    <w:rsid w:val="003A2020"/>
    <w:rsid w:val="003A4974"/>
    <w:rsid w:val="003A4D1B"/>
    <w:rsid w:val="003A6CF3"/>
    <w:rsid w:val="003B07B6"/>
    <w:rsid w:val="003B0D61"/>
    <w:rsid w:val="003B35B8"/>
    <w:rsid w:val="003B5E12"/>
    <w:rsid w:val="003B5FB4"/>
    <w:rsid w:val="003B6B7E"/>
    <w:rsid w:val="003B7604"/>
    <w:rsid w:val="003B79DD"/>
    <w:rsid w:val="003B7C34"/>
    <w:rsid w:val="003C0740"/>
    <w:rsid w:val="003C0BB6"/>
    <w:rsid w:val="003C1FF3"/>
    <w:rsid w:val="003C2469"/>
    <w:rsid w:val="003C3061"/>
    <w:rsid w:val="003C4D80"/>
    <w:rsid w:val="003C6082"/>
    <w:rsid w:val="003C6738"/>
    <w:rsid w:val="003C737A"/>
    <w:rsid w:val="003C7645"/>
    <w:rsid w:val="003D1E74"/>
    <w:rsid w:val="003D2409"/>
    <w:rsid w:val="003D35C6"/>
    <w:rsid w:val="003D469A"/>
    <w:rsid w:val="003D523D"/>
    <w:rsid w:val="003D6464"/>
    <w:rsid w:val="003D6C30"/>
    <w:rsid w:val="003D7928"/>
    <w:rsid w:val="003E0C8C"/>
    <w:rsid w:val="003E28B5"/>
    <w:rsid w:val="003E37B3"/>
    <w:rsid w:val="003E3DBE"/>
    <w:rsid w:val="003E5A92"/>
    <w:rsid w:val="003E643C"/>
    <w:rsid w:val="003E785B"/>
    <w:rsid w:val="003F138D"/>
    <w:rsid w:val="003F17F7"/>
    <w:rsid w:val="003F4334"/>
    <w:rsid w:val="003F44BB"/>
    <w:rsid w:val="003F6B3C"/>
    <w:rsid w:val="00400738"/>
    <w:rsid w:val="00400786"/>
    <w:rsid w:val="004008CB"/>
    <w:rsid w:val="00401413"/>
    <w:rsid w:val="004021B6"/>
    <w:rsid w:val="00402C59"/>
    <w:rsid w:val="00403126"/>
    <w:rsid w:val="0040358D"/>
    <w:rsid w:val="00403B69"/>
    <w:rsid w:val="00407930"/>
    <w:rsid w:val="00410E0A"/>
    <w:rsid w:val="00411114"/>
    <w:rsid w:val="00412B84"/>
    <w:rsid w:val="0041650A"/>
    <w:rsid w:val="00420050"/>
    <w:rsid w:val="0042011E"/>
    <w:rsid w:val="004206CB"/>
    <w:rsid w:val="00420D4B"/>
    <w:rsid w:val="0042138B"/>
    <w:rsid w:val="004217EE"/>
    <w:rsid w:val="0042387D"/>
    <w:rsid w:val="00424092"/>
    <w:rsid w:val="00425513"/>
    <w:rsid w:val="00426BE1"/>
    <w:rsid w:val="00427D6C"/>
    <w:rsid w:val="00430629"/>
    <w:rsid w:val="00432207"/>
    <w:rsid w:val="004338DF"/>
    <w:rsid w:val="00433D2A"/>
    <w:rsid w:val="004343C7"/>
    <w:rsid w:val="00435804"/>
    <w:rsid w:val="00435905"/>
    <w:rsid w:val="00435A2A"/>
    <w:rsid w:val="004411BA"/>
    <w:rsid w:val="00442679"/>
    <w:rsid w:val="004451A2"/>
    <w:rsid w:val="00447CB3"/>
    <w:rsid w:val="00447E71"/>
    <w:rsid w:val="004505A0"/>
    <w:rsid w:val="004506BF"/>
    <w:rsid w:val="00450C5B"/>
    <w:rsid w:val="00454EE9"/>
    <w:rsid w:val="00455B45"/>
    <w:rsid w:val="00457AA7"/>
    <w:rsid w:val="004608B1"/>
    <w:rsid w:val="004624CD"/>
    <w:rsid w:val="00463649"/>
    <w:rsid w:val="004644A7"/>
    <w:rsid w:val="00464D56"/>
    <w:rsid w:val="00465388"/>
    <w:rsid w:val="00466E9A"/>
    <w:rsid w:val="00467B5E"/>
    <w:rsid w:val="00467BE7"/>
    <w:rsid w:val="00471AF4"/>
    <w:rsid w:val="00472E22"/>
    <w:rsid w:val="004730F7"/>
    <w:rsid w:val="00473E62"/>
    <w:rsid w:val="004746BC"/>
    <w:rsid w:val="00476115"/>
    <w:rsid w:val="004765CE"/>
    <w:rsid w:val="00476E7D"/>
    <w:rsid w:val="00477856"/>
    <w:rsid w:val="00477FD1"/>
    <w:rsid w:val="00480399"/>
    <w:rsid w:val="00481CB6"/>
    <w:rsid w:val="00481CCA"/>
    <w:rsid w:val="00482C35"/>
    <w:rsid w:val="0048365F"/>
    <w:rsid w:val="0048647A"/>
    <w:rsid w:val="00490804"/>
    <w:rsid w:val="00491566"/>
    <w:rsid w:val="00492150"/>
    <w:rsid w:val="0049468B"/>
    <w:rsid w:val="0049527B"/>
    <w:rsid w:val="004A1252"/>
    <w:rsid w:val="004A1708"/>
    <w:rsid w:val="004A23EB"/>
    <w:rsid w:val="004A26F8"/>
    <w:rsid w:val="004A3B94"/>
    <w:rsid w:val="004A45FF"/>
    <w:rsid w:val="004A461B"/>
    <w:rsid w:val="004B0B47"/>
    <w:rsid w:val="004B1819"/>
    <w:rsid w:val="004B20CA"/>
    <w:rsid w:val="004B2498"/>
    <w:rsid w:val="004B34E5"/>
    <w:rsid w:val="004B380B"/>
    <w:rsid w:val="004B40D5"/>
    <w:rsid w:val="004B518C"/>
    <w:rsid w:val="004B583F"/>
    <w:rsid w:val="004B6383"/>
    <w:rsid w:val="004B7907"/>
    <w:rsid w:val="004C48BD"/>
    <w:rsid w:val="004C7E79"/>
    <w:rsid w:val="004D0081"/>
    <w:rsid w:val="004D093E"/>
    <w:rsid w:val="004D12C0"/>
    <w:rsid w:val="004D217B"/>
    <w:rsid w:val="004D728E"/>
    <w:rsid w:val="004D72DA"/>
    <w:rsid w:val="004D7B07"/>
    <w:rsid w:val="004E3BD3"/>
    <w:rsid w:val="004E44AD"/>
    <w:rsid w:val="004E5F2A"/>
    <w:rsid w:val="004E71F4"/>
    <w:rsid w:val="004E7709"/>
    <w:rsid w:val="004F2AE9"/>
    <w:rsid w:val="004F30CC"/>
    <w:rsid w:val="004F65A6"/>
    <w:rsid w:val="004F67DE"/>
    <w:rsid w:val="004F7ABA"/>
    <w:rsid w:val="005001C9"/>
    <w:rsid w:val="0050200B"/>
    <w:rsid w:val="0050215D"/>
    <w:rsid w:val="00502392"/>
    <w:rsid w:val="0050318A"/>
    <w:rsid w:val="00503EE0"/>
    <w:rsid w:val="005100D6"/>
    <w:rsid w:val="00510AE0"/>
    <w:rsid w:val="00511D2B"/>
    <w:rsid w:val="00512E43"/>
    <w:rsid w:val="00513691"/>
    <w:rsid w:val="00513B3D"/>
    <w:rsid w:val="00513E36"/>
    <w:rsid w:val="00515C0E"/>
    <w:rsid w:val="0051679C"/>
    <w:rsid w:val="00516E29"/>
    <w:rsid w:val="0052006B"/>
    <w:rsid w:val="0052007D"/>
    <w:rsid w:val="00521419"/>
    <w:rsid w:val="00522F06"/>
    <w:rsid w:val="005239F4"/>
    <w:rsid w:val="00524649"/>
    <w:rsid w:val="00525436"/>
    <w:rsid w:val="00530C15"/>
    <w:rsid w:val="00532492"/>
    <w:rsid w:val="00537FE1"/>
    <w:rsid w:val="00540407"/>
    <w:rsid w:val="00540F65"/>
    <w:rsid w:val="005416CC"/>
    <w:rsid w:val="005439C1"/>
    <w:rsid w:val="00545C72"/>
    <w:rsid w:val="005462DA"/>
    <w:rsid w:val="0054682D"/>
    <w:rsid w:val="005472D8"/>
    <w:rsid w:val="00553FC3"/>
    <w:rsid w:val="00554C97"/>
    <w:rsid w:val="00555368"/>
    <w:rsid w:val="0055692D"/>
    <w:rsid w:val="005569C2"/>
    <w:rsid w:val="00556FF7"/>
    <w:rsid w:val="00557342"/>
    <w:rsid w:val="00557AD7"/>
    <w:rsid w:val="00560723"/>
    <w:rsid w:val="005620C6"/>
    <w:rsid w:val="00562F66"/>
    <w:rsid w:val="00563CED"/>
    <w:rsid w:val="00570184"/>
    <w:rsid w:val="005702B0"/>
    <w:rsid w:val="005702F3"/>
    <w:rsid w:val="00570E10"/>
    <w:rsid w:val="00571748"/>
    <w:rsid w:val="00572775"/>
    <w:rsid w:val="00572A8E"/>
    <w:rsid w:val="005760FC"/>
    <w:rsid w:val="00576355"/>
    <w:rsid w:val="005810B8"/>
    <w:rsid w:val="0058166A"/>
    <w:rsid w:val="00583E30"/>
    <w:rsid w:val="00586CCC"/>
    <w:rsid w:val="005900CC"/>
    <w:rsid w:val="0059088E"/>
    <w:rsid w:val="00592EEE"/>
    <w:rsid w:val="005949D7"/>
    <w:rsid w:val="005958BB"/>
    <w:rsid w:val="00595A07"/>
    <w:rsid w:val="00596B65"/>
    <w:rsid w:val="00596F45"/>
    <w:rsid w:val="00597899"/>
    <w:rsid w:val="005A1E38"/>
    <w:rsid w:val="005A20D9"/>
    <w:rsid w:val="005A2E31"/>
    <w:rsid w:val="005A52CA"/>
    <w:rsid w:val="005A6EA5"/>
    <w:rsid w:val="005B1035"/>
    <w:rsid w:val="005B389F"/>
    <w:rsid w:val="005B4CD1"/>
    <w:rsid w:val="005B7383"/>
    <w:rsid w:val="005C3281"/>
    <w:rsid w:val="005C40CC"/>
    <w:rsid w:val="005C62F8"/>
    <w:rsid w:val="005C6ED9"/>
    <w:rsid w:val="005D159C"/>
    <w:rsid w:val="005D2DF4"/>
    <w:rsid w:val="005D3715"/>
    <w:rsid w:val="005D5988"/>
    <w:rsid w:val="005D7DC2"/>
    <w:rsid w:val="005E27EE"/>
    <w:rsid w:val="005E359D"/>
    <w:rsid w:val="005E6029"/>
    <w:rsid w:val="005E64FD"/>
    <w:rsid w:val="005E696A"/>
    <w:rsid w:val="005F0165"/>
    <w:rsid w:val="005F0D06"/>
    <w:rsid w:val="005F1AB4"/>
    <w:rsid w:val="005F2C80"/>
    <w:rsid w:val="005F2D34"/>
    <w:rsid w:val="005F4992"/>
    <w:rsid w:val="005F5F7B"/>
    <w:rsid w:val="005F6C83"/>
    <w:rsid w:val="0060207F"/>
    <w:rsid w:val="0060354A"/>
    <w:rsid w:val="00604490"/>
    <w:rsid w:val="00605443"/>
    <w:rsid w:val="00606064"/>
    <w:rsid w:val="006064A1"/>
    <w:rsid w:val="00606969"/>
    <w:rsid w:val="00606C30"/>
    <w:rsid w:val="00607524"/>
    <w:rsid w:val="0061404E"/>
    <w:rsid w:val="00614595"/>
    <w:rsid w:val="00614C1D"/>
    <w:rsid w:val="00615086"/>
    <w:rsid w:val="00616A5D"/>
    <w:rsid w:val="00616D2B"/>
    <w:rsid w:val="00620508"/>
    <w:rsid w:val="006225B9"/>
    <w:rsid w:val="00624C42"/>
    <w:rsid w:val="00625E66"/>
    <w:rsid w:val="006261D0"/>
    <w:rsid w:val="00631A83"/>
    <w:rsid w:val="00632038"/>
    <w:rsid w:val="006320E3"/>
    <w:rsid w:val="006343A2"/>
    <w:rsid w:val="00634AF2"/>
    <w:rsid w:val="0063605B"/>
    <w:rsid w:val="006400A0"/>
    <w:rsid w:val="0064037C"/>
    <w:rsid w:val="00640E12"/>
    <w:rsid w:val="006417B4"/>
    <w:rsid w:val="00641BC8"/>
    <w:rsid w:val="00644539"/>
    <w:rsid w:val="006465DC"/>
    <w:rsid w:val="00646A41"/>
    <w:rsid w:val="006539CE"/>
    <w:rsid w:val="00654323"/>
    <w:rsid w:val="006546C9"/>
    <w:rsid w:val="00656A22"/>
    <w:rsid w:val="00657A30"/>
    <w:rsid w:val="00662266"/>
    <w:rsid w:val="006626EA"/>
    <w:rsid w:val="00662B03"/>
    <w:rsid w:val="00662B1E"/>
    <w:rsid w:val="006640C8"/>
    <w:rsid w:val="00665DB7"/>
    <w:rsid w:val="0066790B"/>
    <w:rsid w:val="0067152D"/>
    <w:rsid w:val="00671E63"/>
    <w:rsid w:val="006737DE"/>
    <w:rsid w:val="00673920"/>
    <w:rsid w:val="00673D75"/>
    <w:rsid w:val="00673FAB"/>
    <w:rsid w:val="00677E0F"/>
    <w:rsid w:val="00681986"/>
    <w:rsid w:val="00682950"/>
    <w:rsid w:val="00685CB1"/>
    <w:rsid w:val="0068671C"/>
    <w:rsid w:val="00687724"/>
    <w:rsid w:val="00687977"/>
    <w:rsid w:val="00687FD1"/>
    <w:rsid w:val="00691D61"/>
    <w:rsid w:val="00692FA5"/>
    <w:rsid w:val="006934E4"/>
    <w:rsid w:val="00694738"/>
    <w:rsid w:val="00694BA9"/>
    <w:rsid w:val="00695E47"/>
    <w:rsid w:val="00697202"/>
    <w:rsid w:val="006A0620"/>
    <w:rsid w:val="006A5A45"/>
    <w:rsid w:val="006A5C5D"/>
    <w:rsid w:val="006A6546"/>
    <w:rsid w:val="006A7BEF"/>
    <w:rsid w:val="006B0FA9"/>
    <w:rsid w:val="006B1A90"/>
    <w:rsid w:val="006B2C8D"/>
    <w:rsid w:val="006B4686"/>
    <w:rsid w:val="006B5487"/>
    <w:rsid w:val="006B6F20"/>
    <w:rsid w:val="006C098B"/>
    <w:rsid w:val="006C0998"/>
    <w:rsid w:val="006C0F46"/>
    <w:rsid w:val="006C1FF4"/>
    <w:rsid w:val="006C221D"/>
    <w:rsid w:val="006C32AE"/>
    <w:rsid w:val="006C3612"/>
    <w:rsid w:val="006C4EAE"/>
    <w:rsid w:val="006C4FC7"/>
    <w:rsid w:val="006C716A"/>
    <w:rsid w:val="006D0804"/>
    <w:rsid w:val="006D1330"/>
    <w:rsid w:val="006D137E"/>
    <w:rsid w:val="006D259B"/>
    <w:rsid w:val="006D31AA"/>
    <w:rsid w:val="006D34F6"/>
    <w:rsid w:val="006D4568"/>
    <w:rsid w:val="006D498E"/>
    <w:rsid w:val="006D5DF7"/>
    <w:rsid w:val="006D60B6"/>
    <w:rsid w:val="006D63AF"/>
    <w:rsid w:val="006E13AD"/>
    <w:rsid w:val="006E1788"/>
    <w:rsid w:val="006E2219"/>
    <w:rsid w:val="006E22D0"/>
    <w:rsid w:val="006E2D66"/>
    <w:rsid w:val="006E3FCD"/>
    <w:rsid w:val="006E443E"/>
    <w:rsid w:val="006E500F"/>
    <w:rsid w:val="006F0797"/>
    <w:rsid w:val="006F1F90"/>
    <w:rsid w:val="006F2938"/>
    <w:rsid w:val="006F3CBC"/>
    <w:rsid w:val="006F49E5"/>
    <w:rsid w:val="006F6B6C"/>
    <w:rsid w:val="006F7B14"/>
    <w:rsid w:val="00700F12"/>
    <w:rsid w:val="0070290C"/>
    <w:rsid w:val="00702B67"/>
    <w:rsid w:val="0070300D"/>
    <w:rsid w:val="00704763"/>
    <w:rsid w:val="00704FF7"/>
    <w:rsid w:val="00705FF3"/>
    <w:rsid w:val="00713549"/>
    <w:rsid w:val="00713A23"/>
    <w:rsid w:val="00713A26"/>
    <w:rsid w:val="00713B69"/>
    <w:rsid w:val="00714F46"/>
    <w:rsid w:val="007156D8"/>
    <w:rsid w:val="0072020E"/>
    <w:rsid w:val="00721F4A"/>
    <w:rsid w:val="007224CE"/>
    <w:rsid w:val="00722840"/>
    <w:rsid w:val="007237AD"/>
    <w:rsid w:val="007245EB"/>
    <w:rsid w:val="00730787"/>
    <w:rsid w:val="0073140E"/>
    <w:rsid w:val="00731609"/>
    <w:rsid w:val="00731C94"/>
    <w:rsid w:val="00735F2A"/>
    <w:rsid w:val="007370A2"/>
    <w:rsid w:val="00742006"/>
    <w:rsid w:val="007422A4"/>
    <w:rsid w:val="007426CF"/>
    <w:rsid w:val="00743B5E"/>
    <w:rsid w:val="00743E83"/>
    <w:rsid w:val="00745BF5"/>
    <w:rsid w:val="00746796"/>
    <w:rsid w:val="00746D5E"/>
    <w:rsid w:val="00747B4D"/>
    <w:rsid w:val="00747F3F"/>
    <w:rsid w:val="00750831"/>
    <w:rsid w:val="0075125F"/>
    <w:rsid w:val="00751EF9"/>
    <w:rsid w:val="00752044"/>
    <w:rsid w:val="0075382F"/>
    <w:rsid w:val="007564E3"/>
    <w:rsid w:val="00756AEB"/>
    <w:rsid w:val="00761D18"/>
    <w:rsid w:val="00762946"/>
    <w:rsid w:val="0076630F"/>
    <w:rsid w:val="00771BBB"/>
    <w:rsid w:val="007721C9"/>
    <w:rsid w:val="0077274B"/>
    <w:rsid w:val="00774381"/>
    <w:rsid w:val="00776900"/>
    <w:rsid w:val="00776C22"/>
    <w:rsid w:val="00776DBC"/>
    <w:rsid w:val="00781102"/>
    <w:rsid w:val="0078249F"/>
    <w:rsid w:val="00782E06"/>
    <w:rsid w:val="007836F6"/>
    <w:rsid w:val="00783BB9"/>
    <w:rsid w:val="00783E8B"/>
    <w:rsid w:val="00784BDF"/>
    <w:rsid w:val="007852C4"/>
    <w:rsid w:val="00785F16"/>
    <w:rsid w:val="0079048D"/>
    <w:rsid w:val="0079143A"/>
    <w:rsid w:val="00791C55"/>
    <w:rsid w:val="00791EAD"/>
    <w:rsid w:val="00792BB3"/>
    <w:rsid w:val="00795DAD"/>
    <w:rsid w:val="00795E31"/>
    <w:rsid w:val="00797337"/>
    <w:rsid w:val="007A04EA"/>
    <w:rsid w:val="007A15BA"/>
    <w:rsid w:val="007A1F96"/>
    <w:rsid w:val="007A3718"/>
    <w:rsid w:val="007A49A1"/>
    <w:rsid w:val="007A63F3"/>
    <w:rsid w:val="007B31B2"/>
    <w:rsid w:val="007B57F9"/>
    <w:rsid w:val="007B6DAD"/>
    <w:rsid w:val="007C0D95"/>
    <w:rsid w:val="007C1787"/>
    <w:rsid w:val="007C187D"/>
    <w:rsid w:val="007C27EF"/>
    <w:rsid w:val="007C2EA0"/>
    <w:rsid w:val="007C310E"/>
    <w:rsid w:val="007C3C7A"/>
    <w:rsid w:val="007C3D21"/>
    <w:rsid w:val="007C7BD0"/>
    <w:rsid w:val="007C7F80"/>
    <w:rsid w:val="007D092C"/>
    <w:rsid w:val="007D0F4A"/>
    <w:rsid w:val="007D1566"/>
    <w:rsid w:val="007D1605"/>
    <w:rsid w:val="007D163C"/>
    <w:rsid w:val="007D2571"/>
    <w:rsid w:val="007D2AD9"/>
    <w:rsid w:val="007D2F8E"/>
    <w:rsid w:val="007D3F9C"/>
    <w:rsid w:val="007D5A19"/>
    <w:rsid w:val="007D6A65"/>
    <w:rsid w:val="007D7C2C"/>
    <w:rsid w:val="007E1AE8"/>
    <w:rsid w:val="007E2906"/>
    <w:rsid w:val="007E3613"/>
    <w:rsid w:val="007E561A"/>
    <w:rsid w:val="007E6E96"/>
    <w:rsid w:val="007F0000"/>
    <w:rsid w:val="007F0C1B"/>
    <w:rsid w:val="007F0C68"/>
    <w:rsid w:val="007F5A6D"/>
    <w:rsid w:val="00800257"/>
    <w:rsid w:val="00801A61"/>
    <w:rsid w:val="00804254"/>
    <w:rsid w:val="00804FB0"/>
    <w:rsid w:val="00806EAD"/>
    <w:rsid w:val="008075E3"/>
    <w:rsid w:val="00810460"/>
    <w:rsid w:val="0081164B"/>
    <w:rsid w:val="008120BE"/>
    <w:rsid w:val="008124D5"/>
    <w:rsid w:val="00814428"/>
    <w:rsid w:val="0081514D"/>
    <w:rsid w:val="008151D7"/>
    <w:rsid w:val="0081520A"/>
    <w:rsid w:val="00817050"/>
    <w:rsid w:val="00817A82"/>
    <w:rsid w:val="00817BA8"/>
    <w:rsid w:val="00821D29"/>
    <w:rsid w:val="0082292A"/>
    <w:rsid w:val="00823AD3"/>
    <w:rsid w:val="008248CD"/>
    <w:rsid w:val="0082519A"/>
    <w:rsid w:val="0082551F"/>
    <w:rsid w:val="00825D78"/>
    <w:rsid w:val="0082788A"/>
    <w:rsid w:val="00830AC4"/>
    <w:rsid w:val="008321B3"/>
    <w:rsid w:val="00833034"/>
    <w:rsid w:val="00835E0F"/>
    <w:rsid w:val="008369D9"/>
    <w:rsid w:val="008373B6"/>
    <w:rsid w:val="00837CAA"/>
    <w:rsid w:val="0084038F"/>
    <w:rsid w:val="00841CC2"/>
    <w:rsid w:val="00842814"/>
    <w:rsid w:val="00843106"/>
    <w:rsid w:val="00846A3D"/>
    <w:rsid w:val="00853842"/>
    <w:rsid w:val="00853C40"/>
    <w:rsid w:val="008548D1"/>
    <w:rsid w:val="00855266"/>
    <w:rsid w:val="00857841"/>
    <w:rsid w:val="008605E3"/>
    <w:rsid w:val="00863E28"/>
    <w:rsid w:val="00864692"/>
    <w:rsid w:val="00865561"/>
    <w:rsid w:val="00865A49"/>
    <w:rsid w:val="00866F7B"/>
    <w:rsid w:val="008708DC"/>
    <w:rsid w:val="00870EFE"/>
    <w:rsid w:val="008711C4"/>
    <w:rsid w:val="00871945"/>
    <w:rsid w:val="00871AAA"/>
    <w:rsid w:val="00871D66"/>
    <w:rsid w:val="008735FC"/>
    <w:rsid w:val="008736C1"/>
    <w:rsid w:val="00874697"/>
    <w:rsid w:val="008748CB"/>
    <w:rsid w:val="00874C49"/>
    <w:rsid w:val="00877A79"/>
    <w:rsid w:val="00882108"/>
    <w:rsid w:val="00884E00"/>
    <w:rsid w:val="008907BE"/>
    <w:rsid w:val="00890808"/>
    <w:rsid w:val="00891618"/>
    <w:rsid w:val="008929DE"/>
    <w:rsid w:val="00894467"/>
    <w:rsid w:val="00896E80"/>
    <w:rsid w:val="00897D3C"/>
    <w:rsid w:val="008A06C6"/>
    <w:rsid w:val="008A2271"/>
    <w:rsid w:val="008A2501"/>
    <w:rsid w:val="008A425F"/>
    <w:rsid w:val="008A4736"/>
    <w:rsid w:val="008A4E5A"/>
    <w:rsid w:val="008A5118"/>
    <w:rsid w:val="008A541E"/>
    <w:rsid w:val="008A65BE"/>
    <w:rsid w:val="008B05B4"/>
    <w:rsid w:val="008B0955"/>
    <w:rsid w:val="008B1D2D"/>
    <w:rsid w:val="008B2CDC"/>
    <w:rsid w:val="008B3563"/>
    <w:rsid w:val="008B4242"/>
    <w:rsid w:val="008B4270"/>
    <w:rsid w:val="008B50DA"/>
    <w:rsid w:val="008B66A1"/>
    <w:rsid w:val="008B6739"/>
    <w:rsid w:val="008B71C5"/>
    <w:rsid w:val="008B7703"/>
    <w:rsid w:val="008C4816"/>
    <w:rsid w:val="008C56A2"/>
    <w:rsid w:val="008C6BD1"/>
    <w:rsid w:val="008C6CB8"/>
    <w:rsid w:val="008C7E30"/>
    <w:rsid w:val="008D0D9B"/>
    <w:rsid w:val="008D52CA"/>
    <w:rsid w:val="008D6F44"/>
    <w:rsid w:val="008D7499"/>
    <w:rsid w:val="008E03A3"/>
    <w:rsid w:val="008E0BD1"/>
    <w:rsid w:val="008E0FB7"/>
    <w:rsid w:val="008E432A"/>
    <w:rsid w:val="008E48A6"/>
    <w:rsid w:val="008E4F3B"/>
    <w:rsid w:val="008F0C2E"/>
    <w:rsid w:val="008F0D9D"/>
    <w:rsid w:val="008F1831"/>
    <w:rsid w:val="008F295C"/>
    <w:rsid w:val="008F2A04"/>
    <w:rsid w:val="008F2E08"/>
    <w:rsid w:val="008F300B"/>
    <w:rsid w:val="008F3971"/>
    <w:rsid w:val="008F46D3"/>
    <w:rsid w:val="008F5E86"/>
    <w:rsid w:val="009038EA"/>
    <w:rsid w:val="00904799"/>
    <w:rsid w:val="00904CC4"/>
    <w:rsid w:val="0090537B"/>
    <w:rsid w:val="009154AB"/>
    <w:rsid w:val="0091594A"/>
    <w:rsid w:val="00915AF0"/>
    <w:rsid w:val="0091616D"/>
    <w:rsid w:val="00916B11"/>
    <w:rsid w:val="009170E2"/>
    <w:rsid w:val="00917DF4"/>
    <w:rsid w:val="00920426"/>
    <w:rsid w:val="009232C0"/>
    <w:rsid w:val="00924DFF"/>
    <w:rsid w:val="009300DD"/>
    <w:rsid w:val="00935533"/>
    <w:rsid w:val="00935596"/>
    <w:rsid w:val="009361D8"/>
    <w:rsid w:val="00940760"/>
    <w:rsid w:val="00941241"/>
    <w:rsid w:val="00941D45"/>
    <w:rsid w:val="00942D67"/>
    <w:rsid w:val="00944443"/>
    <w:rsid w:val="0094471B"/>
    <w:rsid w:val="009449D9"/>
    <w:rsid w:val="00944A86"/>
    <w:rsid w:val="0094670F"/>
    <w:rsid w:val="00953B77"/>
    <w:rsid w:val="00955A4F"/>
    <w:rsid w:val="0095604D"/>
    <w:rsid w:val="00956D38"/>
    <w:rsid w:val="00960834"/>
    <w:rsid w:val="00960C15"/>
    <w:rsid w:val="00962389"/>
    <w:rsid w:val="00963A16"/>
    <w:rsid w:val="00964060"/>
    <w:rsid w:val="00964517"/>
    <w:rsid w:val="00964BDE"/>
    <w:rsid w:val="009652F4"/>
    <w:rsid w:val="00966083"/>
    <w:rsid w:val="00966865"/>
    <w:rsid w:val="00967B6C"/>
    <w:rsid w:val="00971504"/>
    <w:rsid w:val="00971679"/>
    <w:rsid w:val="0097189A"/>
    <w:rsid w:val="00972E90"/>
    <w:rsid w:val="00974E05"/>
    <w:rsid w:val="0097692C"/>
    <w:rsid w:val="00976AE2"/>
    <w:rsid w:val="009778CA"/>
    <w:rsid w:val="00977FBC"/>
    <w:rsid w:val="009817DA"/>
    <w:rsid w:val="009819F6"/>
    <w:rsid w:val="00982A28"/>
    <w:rsid w:val="00983408"/>
    <w:rsid w:val="00987469"/>
    <w:rsid w:val="00987FB9"/>
    <w:rsid w:val="00990847"/>
    <w:rsid w:val="00990A31"/>
    <w:rsid w:val="009917E6"/>
    <w:rsid w:val="00991A09"/>
    <w:rsid w:val="0099285E"/>
    <w:rsid w:val="00993E2E"/>
    <w:rsid w:val="00993EEE"/>
    <w:rsid w:val="00995188"/>
    <w:rsid w:val="00995C75"/>
    <w:rsid w:val="009A188C"/>
    <w:rsid w:val="009A1E55"/>
    <w:rsid w:val="009A21CB"/>
    <w:rsid w:val="009A3BA4"/>
    <w:rsid w:val="009A4517"/>
    <w:rsid w:val="009A654C"/>
    <w:rsid w:val="009A6BD3"/>
    <w:rsid w:val="009B0E68"/>
    <w:rsid w:val="009B2D67"/>
    <w:rsid w:val="009B3790"/>
    <w:rsid w:val="009B3C42"/>
    <w:rsid w:val="009B5FF2"/>
    <w:rsid w:val="009B69E0"/>
    <w:rsid w:val="009C308E"/>
    <w:rsid w:val="009C3C8E"/>
    <w:rsid w:val="009C4BE3"/>
    <w:rsid w:val="009C597B"/>
    <w:rsid w:val="009C70C1"/>
    <w:rsid w:val="009D0E24"/>
    <w:rsid w:val="009D2388"/>
    <w:rsid w:val="009D300F"/>
    <w:rsid w:val="009D3470"/>
    <w:rsid w:val="009D3CD8"/>
    <w:rsid w:val="009D4937"/>
    <w:rsid w:val="009D53DE"/>
    <w:rsid w:val="009D5639"/>
    <w:rsid w:val="009D593A"/>
    <w:rsid w:val="009E0AEE"/>
    <w:rsid w:val="009E10A2"/>
    <w:rsid w:val="009E2072"/>
    <w:rsid w:val="009E225B"/>
    <w:rsid w:val="009E27B5"/>
    <w:rsid w:val="009E4659"/>
    <w:rsid w:val="009E596D"/>
    <w:rsid w:val="009F05A6"/>
    <w:rsid w:val="009F0772"/>
    <w:rsid w:val="009F14D0"/>
    <w:rsid w:val="009F1FCB"/>
    <w:rsid w:val="009F252F"/>
    <w:rsid w:val="009F3CA5"/>
    <w:rsid w:val="009F4EB4"/>
    <w:rsid w:val="00A01952"/>
    <w:rsid w:val="00A01C69"/>
    <w:rsid w:val="00A01E10"/>
    <w:rsid w:val="00A020A1"/>
    <w:rsid w:val="00A04055"/>
    <w:rsid w:val="00A04384"/>
    <w:rsid w:val="00A06EDE"/>
    <w:rsid w:val="00A06F0F"/>
    <w:rsid w:val="00A10A08"/>
    <w:rsid w:val="00A11302"/>
    <w:rsid w:val="00A11BC5"/>
    <w:rsid w:val="00A1457C"/>
    <w:rsid w:val="00A16933"/>
    <w:rsid w:val="00A17718"/>
    <w:rsid w:val="00A2098E"/>
    <w:rsid w:val="00A230F4"/>
    <w:rsid w:val="00A23B05"/>
    <w:rsid w:val="00A23C52"/>
    <w:rsid w:val="00A26559"/>
    <w:rsid w:val="00A32C85"/>
    <w:rsid w:val="00A3393C"/>
    <w:rsid w:val="00A33F33"/>
    <w:rsid w:val="00A3610D"/>
    <w:rsid w:val="00A36637"/>
    <w:rsid w:val="00A376F4"/>
    <w:rsid w:val="00A434DC"/>
    <w:rsid w:val="00A43F89"/>
    <w:rsid w:val="00A4641B"/>
    <w:rsid w:val="00A47E2A"/>
    <w:rsid w:val="00A512B4"/>
    <w:rsid w:val="00A5507F"/>
    <w:rsid w:val="00A56087"/>
    <w:rsid w:val="00A57068"/>
    <w:rsid w:val="00A578A7"/>
    <w:rsid w:val="00A604E5"/>
    <w:rsid w:val="00A63A08"/>
    <w:rsid w:val="00A63C15"/>
    <w:rsid w:val="00A63C99"/>
    <w:rsid w:val="00A63D35"/>
    <w:rsid w:val="00A6684D"/>
    <w:rsid w:val="00A66C04"/>
    <w:rsid w:val="00A66F11"/>
    <w:rsid w:val="00A67955"/>
    <w:rsid w:val="00A701A1"/>
    <w:rsid w:val="00A72DB8"/>
    <w:rsid w:val="00A73C0F"/>
    <w:rsid w:val="00A750BD"/>
    <w:rsid w:val="00A76069"/>
    <w:rsid w:val="00A76C47"/>
    <w:rsid w:val="00A77372"/>
    <w:rsid w:val="00A77A1E"/>
    <w:rsid w:val="00A809F1"/>
    <w:rsid w:val="00A81324"/>
    <w:rsid w:val="00A816D2"/>
    <w:rsid w:val="00A82A32"/>
    <w:rsid w:val="00A84694"/>
    <w:rsid w:val="00A86479"/>
    <w:rsid w:val="00A86B65"/>
    <w:rsid w:val="00A92C06"/>
    <w:rsid w:val="00A94CB7"/>
    <w:rsid w:val="00A95DF2"/>
    <w:rsid w:val="00A95F44"/>
    <w:rsid w:val="00AA0FF4"/>
    <w:rsid w:val="00AA2610"/>
    <w:rsid w:val="00AA2998"/>
    <w:rsid w:val="00AA2D7C"/>
    <w:rsid w:val="00AA43A8"/>
    <w:rsid w:val="00AA4457"/>
    <w:rsid w:val="00AA5157"/>
    <w:rsid w:val="00AA6B77"/>
    <w:rsid w:val="00AB0C03"/>
    <w:rsid w:val="00AB4445"/>
    <w:rsid w:val="00AB551D"/>
    <w:rsid w:val="00AB5D95"/>
    <w:rsid w:val="00AB686E"/>
    <w:rsid w:val="00AC0BEE"/>
    <w:rsid w:val="00AC1A6C"/>
    <w:rsid w:val="00AC1FC3"/>
    <w:rsid w:val="00AC38A5"/>
    <w:rsid w:val="00AC3A22"/>
    <w:rsid w:val="00AC4C61"/>
    <w:rsid w:val="00AC5B54"/>
    <w:rsid w:val="00AD2451"/>
    <w:rsid w:val="00AD4541"/>
    <w:rsid w:val="00AD6B9D"/>
    <w:rsid w:val="00AD7681"/>
    <w:rsid w:val="00AE0902"/>
    <w:rsid w:val="00AE0CEE"/>
    <w:rsid w:val="00AE1464"/>
    <w:rsid w:val="00AE2714"/>
    <w:rsid w:val="00AE2B96"/>
    <w:rsid w:val="00AE2ECB"/>
    <w:rsid w:val="00AE3620"/>
    <w:rsid w:val="00AE4595"/>
    <w:rsid w:val="00AE55E5"/>
    <w:rsid w:val="00AE5627"/>
    <w:rsid w:val="00AE6CBC"/>
    <w:rsid w:val="00AF0698"/>
    <w:rsid w:val="00AF29E6"/>
    <w:rsid w:val="00AF2A3A"/>
    <w:rsid w:val="00AF2D5D"/>
    <w:rsid w:val="00AF578D"/>
    <w:rsid w:val="00AF6877"/>
    <w:rsid w:val="00AF7279"/>
    <w:rsid w:val="00B00523"/>
    <w:rsid w:val="00B01CB5"/>
    <w:rsid w:val="00B01EAA"/>
    <w:rsid w:val="00B03479"/>
    <w:rsid w:val="00B03D26"/>
    <w:rsid w:val="00B04B4F"/>
    <w:rsid w:val="00B04C34"/>
    <w:rsid w:val="00B04F09"/>
    <w:rsid w:val="00B052D3"/>
    <w:rsid w:val="00B058B2"/>
    <w:rsid w:val="00B0675F"/>
    <w:rsid w:val="00B06BAF"/>
    <w:rsid w:val="00B06DDC"/>
    <w:rsid w:val="00B07C77"/>
    <w:rsid w:val="00B111B5"/>
    <w:rsid w:val="00B1143B"/>
    <w:rsid w:val="00B151DA"/>
    <w:rsid w:val="00B16753"/>
    <w:rsid w:val="00B171D8"/>
    <w:rsid w:val="00B208F2"/>
    <w:rsid w:val="00B20B3E"/>
    <w:rsid w:val="00B225B7"/>
    <w:rsid w:val="00B23CFB"/>
    <w:rsid w:val="00B248E6"/>
    <w:rsid w:val="00B24A05"/>
    <w:rsid w:val="00B26ED0"/>
    <w:rsid w:val="00B30027"/>
    <w:rsid w:val="00B34AF5"/>
    <w:rsid w:val="00B37199"/>
    <w:rsid w:val="00B37FAC"/>
    <w:rsid w:val="00B427CB"/>
    <w:rsid w:val="00B439BD"/>
    <w:rsid w:val="00B46538"/>
    <w:rsid w:val="00B477A6"/>
    <w:rsid w:val="00B47B5E"/>
    <w:rsid w:val="00B47C2E"/>
    <w:rsid w:val="00B518EA"/>
    <w:rsid w:val="00B51AF5"/>
    <w:rsid w:val="00B51BFE"/>
    <w:rsid w:val="00B52FB1"/>
    <w:rsid w:val="00B53C92"/>
    <w:rsid w:val="00B5549B"/>
    <w:rsid w:val="00B57233"/>
    <w:rsid w:val="00B6055C"/>
    <w:rsid w:val="00B612FA"/>
    <w:rsid w:val="00B61ACF"/>
    <w:rsid w:val="00B6402B"/>
    <w:rsid w:val="00B66184"/>
    <w:rsid w:val="00B676C5"/>
    <w:rsid w:val="00B67E43"/>
    <w:rsid w:val="00B70254"/>
    <w:rsid w:val="00B70293"/>
    <w:rsid w:val="00B716EF"/>
    <w:rsid w:val="00B71C72"/>
    <w:rsid w:val="00B73271"/>
    <w:rsid w:val="00B73B22"/>
    <w:rsid w:val="00B75571"/>
    <w:rsid w:val="00B756D4"/>
    <w:rsid w:val="00B75B59"/>
    <w:rsid w:val="00B76DFB"/>
    <w:rsid w:val="00B80B1A"/>
    <w:rsid w:val="00B81AD6"/>
    <w:rsid w:val="00B82936"/>
    <w:rsid w:val="00B841D6"/>
    <w:rsid w:val="00B8607B"/>
    <w:rsid w:val="00B91026"/>
    <w:rsid w:val="00B92F87"/>
    <w:rsid w:val="00B95232"/>
    <w:rsid w:val="00B973CC"/>
    <w:rsid w:val="00BA0A23"/>
    <w:rsid w:val="00BA0C41"/>
    <w:rsid w:val="00BA1190"/>
    <w:rsid w:val="00BA6A16"/>
    <w:rsid w:val="00BA6D6F"/>
    <w:rsid w:val="00BB0778"/>
    <w:rsid w:val="00BB1470"/>
    <w:rsid w:val="00BB2EC8"/>
    <w:rsid w:val="00BB6203"/>
    <w:rsid w:val="00BB7F86"/>
    <w:rsid w:val="00BC265D"/>
    <w:rsid w:val="00BC38BD"/>
    <w:rsid w:val="00BC4626"/>
    <w:rsid w:val="00BC5E17"/>
    <w:rsid w:val="00BC67CB"/>
    <w:rsid w:val="00BC78AE"/>
    <w:rsid w:val="00BC7AC5"/>
    <w:rsid w:val="00BC7CEE"/>
    <w:rsid w:val="00BD0512"/>
    <w:rsid w:val="00BD12A3"/>
    <w:rsid w:val="00BD1387"/>
    <w:rsid w:val="00BD2467"/>
    <w:rsid w:val="00BD641D"/>
    <w:rsid w:val="00BD7EA6"/>
    <w:rsid w:val="00BD7FA9"/>
    <w:rsid w:val="00BE04AB"/>
    <w:rsid w:val="00BE2520"/>
    <w:rsid w:val="00BE4207"/>
    <w:rsid w:val="00BE57A9"/>
    <w:rsid w:val="00BE70E0"/>
    <w:rsid w:val="00BF3413"/>
    <w:rsid w:val="00BF3FBD"/>
    <w:rsid w:val="00BF4E74"/>
    <w:rsid w:val="00BF5137"/>
    <w:rsid w:val="00BF5156"/>
    <w:rsid w:val="00BF633D"/>
    <w:rsid w:val="00BF7019"/>
    <w:rsid w:val="00C0198E"/>
    <w:rsid w:val="00C0234C"/>
    <w:rsid w:val="00C0482D"/>
    <w:rsid w:val="00C05837"/>
    <w:rsid w:val="00C05EF5"/>
    <w:rsid w:val="00C0758D"/>
    <w:rsid w:val="00C11D5E"/>
    <w:rsid w:val="00C13E60"/>
    <w:rsid w:val="00C14623"/>
    <w:rsid w:val="00C161DC"/>
    <w:rsid w:val="00C166B9"/>
    <w:rsid w:val="00C16DE3"/>
    <w:rsid w:val="00C209F0"/>
    <w:rsid w:val="00C211C4"/>
    <w:rsid w:val="00C22FD5"/>
    <w:rsid w:val="00C25073"/>
    <w:rsid w:val="00C26D9C"/>
    <w:rsid w:val="00C273E8"/>
    <w:rsid w:val="00C27A38"/>
    <w:rsid w:val="00C3164F"/>
    <w:rsid w:val="00C3165A"/>
    <w:rsid w:val="00C31C81"/>
    <w:rsid w:val="00C33EA8"/>
    <w:rsid w:val="00C34366"/>
    <w:rsid w:val="00C36743"/>
    <w:rsid w:val="00C4038E"/>
    <w:rsid w:val="00C408A5"/>
    <w:rsid w:val="00C418D2"/>
    <w:rsid w:val="00C41B3F"/>
    <w:rsid w:val="00C42E51"/>
    <w:rsid w:val="00C43406"/>
    <w:rsid w:val="00C45337"/>
    <w:rsid w:val="00C46D31"/>
    <w:rsid w:val="00C47853"/>
    <w:rsid w:val="00C5085B"/>
    <w:rsid w:val="00C51620"/>
    <w:rsid w:val="00C523F6"/>
    <w:rsid w:val="00C524D3"/>
    <w:rsid w:val="00C52AF9"/>
    <w:rsid w:val="00C5528D"/>
    <w:rsid w:val="00C55737"/>
    <w:rsid w:val="00C55B3D"/>
    <w:rsid w:val="00C60A3F"/>
    <w:rsid w:val="00C6594B"/>
    <w:rsid w:val="00C65C9A"/>
    <w:rsid w:val="00C675B5"/>
    <w:rsid w:val="00C71117"/>
    <w:rsid w:val="00C711D0"/>
    <w:rsid w:val="00C713CF"/>
    <w:rsid w:val="00C718F7"/>
    <w:rsid w:val="00C71A89"/>
    <w:rsid w:val="00C725C1"/>
    <w:rsid w:val="00C7309E"/>
    <w:rsid w:val="00C74140"/>
    <w:rsid w:val="00C7625F"/>
    <w:rsid w:val="00C77296"/>
    <w:rsid w:val="00C77A72"/>
    <w:rsid w:val="00C818E9"/>
    <w:rsid w:val="00C847C7"/>
    <w:rsid w:val="00C85C5E"/>
    <w:rsid w:val="00C90375"/>
    <w:rsid w:val="00C91C7C"/>
    <w:rsid w:val="00C92715"/>
    <w:rsid w:val="00C92735"/>
    <w:rsid w:val="00C92D2D"/>
    <w:rsid w:val="00C92DE6"/>
    <w:rsid w:val="00C9377D"/>
    <w:rsid w:val="00C94A62"/>
    <w:rsid w:val="00CA097E"/>
    <w:rsid w:val="00CA18B9"/>
    <w:rsid w:val="00CA3E3B"/>
    <w:rsid w:val="00CA4409"/>
    <w:rsid w:val="00CA4F24"/>
    <w:rsid w:val="00CA5A79"/>
    <w:rsid w:val="00CA604A"/>
    <w:rsid w:val="00CA6AE6"/>
    <w:rsid w:val="00CA76B2"/>
    <w:rsid w:val="00CA7E80"/>
    <w:rsid w:val="00CB1805"/>
    <w:rsid w:val="00CB6158"/>
    <w:rsid w:val="00CB6964"/>
    <w:rsid w:val="00CC3701"/>
    <w:rsid w:val="00CC563C"/>
    <w:rsid w:val="00CD290D"/>
    <w:rsid w:val="00CD2E34"/>
    <w:rsid w:val="00CD37B4"/>
    <w:rsid w:val="00CD3F4E"/>
    <w:rsid w:val="00CD51E9"/>
    <w:rsid w:val="00CD532B"/>
    <w:rsid w:val="00CD79B7"/>
    <w:rsid w:val="00CE17CC"/>
    <w:rsid w:val="00CE2672"/>
    <w:rsid w:val="00CE42E2"/>
    <w:rsid w:val="00CE5232"/>
    <w:rsid w:val="00CF0810"/>
    <w:rsid w:val="00CF11A3"/>
    <w:rsid w:val="00CF284C"/>
    <w:rsid w:val="00D020BF"/>
    <w:rsid w:val="00D021E4"/>
    <w:rsid w:val="00D0514D"/>
    <w:rsid w:val="00D0530A"/>
    <w:rsid w:val="00D053FD"/>
    <w:rsid w:val="00D06DB2"/>
    <w:rsid w:val="00D07265"/>
    <w:rsid w:val="00D1004C"/>
    <w:rsid w:val="00D1078E"/>
    <w:rsid w:val="00D10973"/>
    <w:rsid w:val="00D12A5E"/>
    <w:rsid w:val="00D14BFF"/>
    <w:rsid w:val="00D15153"/>
    <w:rsid w:val="00D16518"/>
    <w:rsid w:val="00D20405"/>
    <w:rsid w:val="00D20921"/>
    <w:rsid w:val="00D214F0"/>
    <w:rsid w:val="00D24C09"/>
    <w:rsid w:val="00D272E7"/>
    <w:rsid w:val="00D30B05"/>
    <w:rsid w:val="00D30B3D"/>
    <w:rsid w:val="00D31C92"/>
    <w:rsid w:val="00D35389"/>
    <w:rsid w:val="00D35CAA"/>
    <w:rsid w:val="00D35FD0"/>
    <w:rsid w:val="00D36EE3"/>
    <w:rsid w:val="00D423EB"/>
    <w:rsid w:val="00D4427F"/>
    <w:rsid w:val="00D453A6"/>
    <w:rsid w:val="00D4729E"/>
    <w:rsid w:val="00D50029"/>
    <w:rsid w:val="00D517D2"/>
    <w:rsid w:val="00D551EA"/>
    <w:rsid w:val="00D6199B"/>
    <w:rsid w:val="00D61B1A"/>
    <w:rsid w:val="00D6326F"/>
    <w:rsid w:val="00D64BF0"/>
    <w:rsid w:val="00D66218"/>
    <w:rsid w:val="00D67ECD"/>
    <w:rsid w:val="00D70501"/>
    <w:rsid w:val="00D70E6A"/>
    <w:rsid w:val="00D71167"/>
    <w:rsid w:val="00D71DA7"/>
    <w:rsid w:val="00D74B28"/>
    <w:rsid w:val="00D77AC6"/>
    <w:rsid w:val="00D807DB"/>
    <w:rsid w:val="00D8249D"/>
    <w:rsid w:val="00D82840"/>
    <w:rsid w:val="00D82847"/>
    <w:rsid w:val="00D82893"/>
    <w:rsid w:val="00D83DC1"/>
    <w:rsid w:val="00D851F0"/>
    <w:rsid w:val="00D85598"/>
    <w:rsid w:val="00D8581B"/>
    <w:rsid w:val="00D87D11"/>
    <w:rsid w:val="00D90160"/>
    <w:rsid w:val="00D9021D"/>
    <w:rsid w:val="00D906E4"/>
    <w:rsid w:val="00D918F5"/>
    <w:rsid w:val="00D940FE"/>
    <w:rsid w:val="00D95BA8"/>
    <w:rsid w:val="00D9627D"/>
    <w:rsid w:val="00D96565"/>
    <w:rsid w:val="00D9670E"/>
    <w:rsid w:val="00DA01AB"/>
    <w:rsid w:val="00DA03DD"/>
    <w:rsid w:val="00DA04D7"/>
    <w:rsid w:val="00DA1A82"/>
    <w:rsid w:val="00DA32E5"/>
    <w:rsid w:val="00DA377F"/>
    <w:rsid w:val="00DA69FC"/>
    <w:rsid w:val="00DB09F6"/>
    <w:rsid w:val="00DB25B2"/>
    <w:rsid w:val="00DB5792"/>
    <w:rsid w:val="00DB7A3F"/>
    <w:rsid w:val="00DC144A"/>
    <w:rsid w:val="00DC175A"/>
    <w:rsid w:val="00DC1C68"/>
    <w:rsid w:val="00DC462B"/>
    <w:rsid w:val="00DC528C"/>
    <w:rsid w:val="00DC5B45"/>
    <w:rsid w:val="00DC6139"/>
    <w:rsid w:val="00DD1CB1"/>
    <w:rsid w:val="00DD1F72"/>
    <w:rsid w:val="00DD7C26"/>
    <w:rsid w:val="00DE2EBF"/>
    <w:rsid w:val="00DE422E"/>
    <w:rsid w:val="00DE6557"/>
    <w:rsid w:val="00DE67B5"/>
    <w:rsid w:val="00DE7C57"/>
    <w:rsid w:val="00DF1EA6"/>
    <w:rsid w:val="00E04725"/>
    <w:rsid w:val="00E10AC8"/>
    <w:rsid w:val="00E12519"/>
    <w:rsid w:val="00E13B38"/>
    <w:rsid w:val="00E1448E"/>
    <w:rsid w:val="00E14728"/>
    <w:rsid w:val="00E163C2"/>
    <w:rsid w:val="00E17BAD"/>
    <w:rsid w:val="00E21007"/>
    <w:rsid w:val="00E222FA"/>
    <w:rsid w:val="00E223A3"/>
    <w:rsid w:val="00E2585E"/>
    <w:rsid w:val="00E25E11"/>
    <w:rsid w:val="00E30985"/>
    <w:rsid w:val="00E30F6B"/>
    <w:rsid w:val="00E31771"/>
    <w:rsid w:val="00E34240"/>
    <w:rsid w:val="00E34E70"/>
    <w:rsid w:val="00E35E39"/>
    <w:rsid w:val="00E40AAB"/>
    <w:rsid w:val="00E41EF1"/>
    <w:rsid w:val="00E421CD"/>
    <w:rsid w:val="00E42729"/>
    <w:rsid w:val="00E43F9E"/>
    <w:rsid w:val="00E449B6"/>
    <w:rsid w:val="00E45284"/>
    <w:rsid w:val="00E45E45"/>
    <w:rsid w:val="00E4656C"/>
    <w:rsid w:val="00E5018B"/>
    <w:rsid w:val="00E50BB9"/>
    <w:rsid w:val="00E51332"/>
    <w:rsid w:val="00E53678"/>
    <w:rsid w:val="00E5403C"/>
    <w:rsid w:val="00E5452E"/>
    <w:rsid w:val="00E54CBD"/>
    <w:rsid w:val="00E565BE"/>
    <w:rsid w:val="00E574EC"/>
    <w:rsid w:val="00E60AA4"/>
    <w:rsid w:val="00E63481"/>
    <w:rsid w:val="00E637D9"/>
    <w:rsid w:val="00E63D6E"/>
    <w:rsid w:val="00E641D3"/>
    <w:rsid w:val="00E66480"/>
    <w:rsid w:val="00E6716D"/>
    <w:rsid w:val="00E728E6"/>
    <w:rsid w:val="00E72AFD"/>
    <w:rsid w:val="00E735E7"/>
    <w:rsid w:val="00E7372C"/>
    <w:rsid w:val="00E765BD"/>
    <w:rsid w:val="00E77E4B"/>
    <w:rsid w:val="00E8195F"/>
    <w:rsid w:val="00E81EB0"/>
    <w:rsid w:val="00E82FAF"/>
    <w:rsid w:val="00E83208"/>
    <w:rsid w:val="00E876C8"/>
    <w:rsid w:val="00E87781"/>
    <w:rsid w:val="00E91775"/>
    <w:rsid w:val="00E957C7"/>
    <w:rsid w:val="00EA083E"/>
    <w:rsid w:val="00EA0DD5"/>
    <w:rsid w:val="00EA2268"/>
    <w:rsid w:val="00EA31B3"/>
    <w:rsid w:val="00EA4BEA"/>
    <w:rsid w:val="00EA54AD"/>
    <w:rsid w:val="00EA6892"/>
    <w:rsid w:val="00EA7046"/>
    <w:rsid w:val="00EB005F"/>
    <w:rsid w:val="00EB0E44"/>
    <w:rsid w:val="00EB1134"/>
    <w:rsid w:val="00EB1D06"/>
    <w:rsid w:val="00EB2E04"/>
    <w:rsid w:val="00EB2FE6"/>
    <w:rsid w:val="00EB43B4"/>
    <w:rsid w:val="00EB4889"/>
    <w:rsid w:val="00EB4E7B"/>
    <w:rsid w:val="00EB5AC1"/>
    <w:rsid w:val="00EC20EE"/>
    <w:rsid w:val="00EC246C"/>
    <w:rsid w:val="00EC24A3"/>
    <w:rsid w:val="00EC3667"/>
    <w:rsid w:val="00EC40D8"/>
    <w:rsid w:val="00EC42BE"/>
    <w:rsid w:val="00EC4B74"/>
    <w:rsid w:val="00EC6713"/>
    <w:rsid w:val="00EC7518"/>
    <w:rsid w:val="00ED1377"/>
    <w:rsid w:val="00ED142B"/>
    <w:rsid w:val="00ED31D2"/>
    <w:rsid w:val="00ED7B2C"/>
    <w:rsid w:val="00EE0478"/>
    <w:rsid w:val="00EE4CE1"/>
    <w:rsid w:val="00EE5396"/>
    <w:rsid w:val="00EE5C86"/>
    <w:rsid w:val="00EE71A1"/>
    <w:rsid w:val="00EE7CFD"/>
    <w:rsid w:val="00EF26E5"/>
    <w:rsid w:val="00EF30AF"/>
    <w:rsid w:val="00EF33B1"/>
    <w:rsid w:val="00EF3713"/>
    <w:rsid w:val="00EF3E3A"/>
    <w:rsid w:val="00EF4D24"/>
    <w:rsid w:val="00EF5FD0"/>
    <w:rsid w:val="00EF71F5"/>
    <w:rsid w:val="00F003A2"/>
    <w:rsid w:val="00F004E0"/>
    <w:rsid w:val="00F005B4"/>
    <w:rsid w:val="00F005B9"/>
    <w:rsid w:val="00F00744"/>
    <w:rsid w:val="00F0092A"/>
    <w:rsid w:val="00F013EB"/>
    <w:rsid w:val="00F014A7"/>
    <w:rsid w:val="00F028EC"/>
    <w:rsid w:val="00F032AB"/>
    <w:rsid w:val="00F0438D"/>
    <w:rsid w:val="00F044E2"/>
    <w:rsid w:val="00F049C5"/>
    <w:rsid w:val="00F04FD2"/>
    <w:rsid w:val="00F07530"/>
    <w:rsid w:val="00F07AA0"/>
    <w:rsid w:val="00F119FA"/>
    <w:rsid w:val="00F14990"/>
    <w:rsid w:val="00F14A9B"/>
    <w:rsid w:val="00F176B3"/>
    <w:rsid w:val="00F26FF5"/>
    <w:rsid w:val="00F27000"/>
    <w:rsid w:val="00F318CB"/>
    <w:rsid w:val="00F32464"/>
    <w:rsid w:val="00F32A45"/>
    <w:rsid w:val="00F33094"/>
    <w:rsid w:val="00F34D31"/>
    <w:rsid w:val="00F356FB"/>
    <w:rsid w:val="00F35FCA"/>
    <w:rsid w:val="00F362D2"/>
    <w:rsid w:val="00F36401"/>
    <w:rsid w:val="00F403FE"/>
    <w:rsid w:val="00F40F13"/>
    <w:rsid w:val="00F4154F"/>
    <w:rsid w:val="00F42A5F"/>
    <w:rsid w:val="00F438BE"/>
    <w:rsid w:val="00F438DA"/>
    <w:rsid w:val="00F43BED"/>
    <w:rsid w:val="00F45330"/>
    <w:rsid w:val="00F45446"/>
    <w:rsid w:val="00F45572"/>
    <w:rsid w:val="00F47B63"/>
    <w:rsid w:val="00F521B8"/>
    <w:rsid w:val="00F52C84"/>
    <w:rsid w:val="00F52EB4"/>
    <w:rsid w:val="00F5512D"/>
    <w:rsid w:val="00F56CBA"/>
    <w:rsid w:val="00F6012C"/>
    <w:rsid w:val="00F61C9F"/>
    <w:rsid w:val="00F62FF8"/>
    <w:rsid w:val="00F63502"/>
    <w:rsid w:val="00F63A8B"/>
    <w:rsid w:val="00F648D0"/>
    <w:rsid w:val="00F66E1B"/>
    <w:rsid w:val="00F678A1"/>
    <w:rsid w:val="00F67981"/>
    <w:rsid w:val="00F679AB"/>
    <w:rsid w:val="00F70BD0"/>
    <w:rsid w:val="00F75807"/>
    <w:rsid w:val="00F75903"/>
    <w:rsid w:val="00F75AC0"/>
    <w:rsid w:val="00F77856"/>
    <w:rsid w:val="00F83E78"/>
    <w:rsid w:val="00F83F47"/>
    <w:rsid w:val="00F84993"/>
    <w:rsid w:val="00F84F4E"/>
    <w:rsid w:val="00F857BC"/>
    <w:rsid w:val="00F85CC9"/>
    <w:rsid w:val="00F85D6D"/>
    <w:rsid w:val="00F877DB"/>
    <w:rsid w:val="00F87EC3"/>
    <w:rsid w:val="00F90942"/>
    <w:rsid w:val="00F923A3"/>
    <w:rsid w:val="00F9329A"/>
    <w:rsid w:val="00F95FCD"/>
    <w:rsid w:val="00F9675E"/>
    <w:rsid w:val="00F9729F"/>
    <w:rsid w:val="00F97D7D"/>
    <w:rsid w:val="00FA294D"/>
    <w:rsid w:val="00FA3F79"/>
    <w:rsid w:val="00FA42CE"/>
    <w:rsid w:val="00FA614C"/>
    <w:rsid w:val="00FB13BD"/>
    <w:rsid w:val="00FB2C90"/>
    <w:rsid w:val="00FB396C"/>
    <w:rsid w:val="00FB3C5D"/>
    <w:rsid w:val="00FB3F93"/>
    <w:rsid w:val="00FB545C"/>
    <w:rsid w:val="00FB5C0B"/>
    <w:rsid w:val="00FB5EA5"/>
    <w:rsid w:val="00FB642F"/>
    <w:rsid w:val="00FC1953"/>
    <w:rsid w:val="00FC36FD"/>
    <w:rsid w:val="00FC4AE5"/>
    <w:rsid w:val="00FC5A6A"/>
    <w:rsid w:val="00FC64EF"/>
    <w:rsid w:val="00FD0C54"/>
    <w:rsid w:val="00FD5673"/>
    <w:rsid w:val="00FD5B90"/>
    <w:rsid w:val="00FD654C"/>
    <w:rsid w:val="00FD6888"/>
    <w:rsid w:val="00FD74A0"/>
    <w:rsid w:val="00FD7921"/>
    <w:rsid w:val="00FD7C15"/>
    <w:rsid w:val="00FE005D"/>
    <w:rsid w:val="00FE1DA2"/>
    <w:rsid w:val="00FE2336"/>
    <w:rsid w:val="00FE2969"/>
    <w:rsid w:val="00FE5A94"/>
    <w:rsid w:val="00FE64FC"/>
    <w:rsid w:val="00FF6C84"/>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049A836A"/>
  <w15:docId w15:val="{416F2E6E-1A10-46E3-B7D4-A814DDF1E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4A"/>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A36637"/>
    <w:pPr>
      <w:keepNext/>
      <w:numPr>
        <w:numId w:val="4"/>
      </w:numPr>
      <w:shd w:val="clear" w:color="auto" w:fill="F3F3F3"/>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5C3281"/>
    <w:pPr>
      <w:keepNext/>
      <w:numPr>
        <w:ilvl w:val="1"/>
        <w:numId w:val="4"/>
      </w:numPr>
      <w:spacing w:before="240" w:after="120"/>
      <w:ind w:left="425"/>
      <w:outlineLvl w:val="1"/>
    </w:pPr>
    <w:rPr>
      <w:rFonts w:ascii="Arial" w:hAnsi="Arial"/>
      <w:b/>
      <w:bCs w:val="0"/>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DC144A"/>
    <w:pPr>
      <w:keepNext/>
      <w:numPr>
        <w:ilvl w:val="2"/>
        <w:numId w:val="4"/>
      </w:numPr>
      <w:spacing w:before="240" w:after="240"/>
      <w:outlineLvl w:val="2"/>
    </w:pPr>
    <w:rPr>
      <w:bCs/>
      <w:sz w:val="22"/>
      <w:szCs w:val="26"/>
      <w:u w:val="single"/>
    </w:rPr>
  </w:style>
  <w:style w:type="paragraph" w:styleId="Titre4">
    <w:name w:val="heading 4"/>
    <w:basedOn w:val="Normal"/>
    <w:next w:val="Normal"/>
    <w:qFormat/>
    <w:rsid w:val="000A33A3"/>
    <w:pPr>
      <w:keepNext/>
      <w:widowControl/>
      <w:numPr>
        <w:ilvl w:val="3"/>
        <w:numId w:val="4"/>
      </w:numPr>
      <w:adjustRightInd/>
      <w:spacing w:before="240"/>
      <w:jc w:val="left"/>
      <w:outlineLvl w:val="3"/>
    </w:pPr>
    <w:rPr>
      <w:b/>
      <w:i/>
      <w:sz w:val="22"/>
      <w:szCs w:val="22"/>
    </w:rPr>
  </w:style>
  <w:style w:type="paragraph" w:styleId="Titre5">
    <w:name w:val="heading 5"/>
    <w:basedOn w:val="Normal"/>
    <w:next w:val="Normal"/>
    <w:uiPriority w:val="9"/>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5C3281"/>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171F53"/>
    <w:pPr>
      <w:spacing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aliases w:val="PUCE 1"/>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5C3281"/>
    <w:rPr>
      <w:rFonts w:ascii="Arial" w:hAnsi="Arial" w:cs="Arial"/>
      <w:b/>
      <w:iCs/>
      <w:noProof/>
      <w:sz w:val="24"/>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DC144A"/>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435804"/>
    <w:rPr>
      <w:rFonts w:ascii="Arial" w:hAnsi="Arial" w:cs="Arial"/>
      <w:b/>
      <w:bCs/>
      <w:kern w:val="32"/>
      <w:sz w:val="28"/>
      <w:szCs w:val="32"/>
      <w:shd w:val="clear" w:color="auto" w:fill="F3F3F3"/>
    </w:rPr>
  </w:style>
  <w:style w:type="paragraph" w:styleId="TM4">
    <w:name w:val="toc 4"/>
    <w:basedOn w:val="Normal"/>
    <w:next w:val="Normal"/>
    <w:autoRedefine/>
    <w:uiPriority w:val="39"/>
    <w:unhideWhenUsed/>
    <w:rsid w:val="00171F53"/>
    <w:pPr>
      <w:spacing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styleId="lev">
    <w:name w:val="Strong"/>
    <w:basedOn w:val="Policepardfaut"/>
    <w:uiPriority w:val="22"/>
    <w:qFormat/>
    <w:rsid w:val="00991A09"/>
    <w:rPr>
      <w:b/>
      <w:bCs/>
    </w:rPr>
  </w:style>
  <w:style w:type="table" w:customStyle="1" w:styleId="Grilledutableau1">
    <w:name w:val="Grille du tableau1"/>
    <w:basedOn w:val="TableauNormal"/>
    <w:next w:val="Grilledutableau"/>
    <w:uiPriority w:val="39"/>
    <w:rsid w:val="00A95D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15779D"/>
    <w:rPr>
      <w:color w:val="605E5C"/>
      <w:shd w:val="clear" w:color="auto" w:fill="E1DFDD"/>
    </w:rPr>
  </w:style>
  <w:style w:type="character" w:customStyle="1" w:styleId="ParagraphedelisteCar">
    <w:name w:val="Paragraphe de liste Car"/>
    <w:aliases w:val="PUCE 1 Car"/>
    <w:basedOn w:val="Policepardfaut"/>
    <w:link w:val="Paragraphedeliste"/>
    <w:uiPriority w:val="34"/>
    <w:rsid w:val="005C328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94476585">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567884258">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03560789">
      <w:bodyDiv w:val="1"/>
      <w:marLeft w:val="0"/>
      <w:marRight w:val="0"/>
      <w:marTop w:val="0"/>
      <w:marBottom w:val="0"/>
      <w:divBdr>
        <w:top w:val="none" w:sz="0" w:space="0" w:color="auto"/>
        <w:left w:val="none" w:sz="0" w:space="0" w:color="auto"/>
        <w:bottom w:val="none" w:sz="0" w:space="0" w:color="auto"/>
        <w:right w:val="none" w:sz="0" w:space="0" w:color="auto"/>
      </w:divBdr>
    </w:div>
    <w:div w:id="89832220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123578494">
      <w:bodyDiv w:val="1"/>
      <w:marLeft w:val="0"/>
      <w:marRight w:val="0"/>
      <w:marTop w:val="0"/>
      <w:marBottom w:val="0"/>
      <w:divBdr>
        <w:top w:val="none" w:sz="0" w:space="0" w:color="auto"/>
        <w:left w:val="none" w:sz="0" w:space="0" w:color="auto"/>
        <w:bottom w:val="none" w:sz="0" w:space="0" w:color="auto"/>
        <w:right w:val="none" w:sz="0" w:space="0" w:color="auto"/>
      </w:divBdr>
    </w:div>
    <w:div w:id="1342078383">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69809036">
      <w:bodyDiv w:val="1"/>
      <w:marLeft w:val="0"/>
      <w:marRight w:val="0"/>
      <w:marTop w:val="0"/>
      <w:marBottom w:val="0"/>
      <w:divBdr>
        <w:top w:val="none" w:sz="0" w:space="0" w:color="auto"/>
        <w:left w:val="none" w:sz="0" w:space="0" w:color="auto"/>
        <w:bottom w:val="none" w:sz="0" w:space="0" w:color="auto"/>
        <w:right w:val="none" w:sz="0" w:space="0" w:color="auto"/>
      </w:divBdr>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14561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sproegalitediversite@cnc.f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legifrance.gouv.fr/jorf/id/JORFTEXT00004331061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1F957-51D6-4D5D-8109-9049CE133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6218</Words>
  <Characters>35703</Characters>
  <Application>Microsoft Office Word</Application>
  <DocSecurity>0</DocSecurity>
  <Lines>297</Lines>
  <Paragraphs>83</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41838</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Bozzi William</cp:lastModifiedBy>
  <cp:revision>3</cp:revision>
  <cp:lastPrinted>2020-02-07T13:32:00Z</cp:lastPrinted>
  <dcterms:created xsi:type="dcterms:W3CDTF">2026-02-09T15:50:00Z</dcterms:created>
  <dcterms:modified xsi:type="dcterms:W3CDTF">2026-02-10T13:27:00Z</dcterms:modified>
</cp:coreProperties>
</file>